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Vergabekammer des Landes Musterland</w:t>
            </w:r>
          </w:p>
          <w:p>
            <w:pPr>
              <w:spacing w:after="0"/>
            </w:pPr>
            <w:r>
              <w:rPr>
                <w:color w:val="646464"/>
                <w:sz w:val="18"/>
              </w:rPr>
              <w:t>Bauhofstraße 4,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20.07.2026</w:t>
              <w:br/>
            </w:r>
            <w:r>
              <w:rPr>
                <w:rFonts w:ascii="Times New Roman" w:hAnsi="Times New Roman"/>
                <w:color w:val="646464"/>
                <w:sz w:val="18"/>
              </w:rPr>
              <w:t>Aktenzeichen: VK ML 7-19/26</w:t>
              <w:br/>
            </w:r>
            <w:r>
              <w:rPr>
                <w:rFonts w:ascii="Times New Roman" w:hAnsi="Times New Roman"/>
                <w:color w:val="646464"/>
                <w:sz w:val="18"/>
              </w:rPr>
              <w:t>Beschluss der Vergabekammer</w:t>
            </w:r>
          </w:p>
        </w:tc>
      </w:tr>
    </w:tbl>
    <w:p>
      <w:pPr>
        <w:spacing w:before="200" w:after="40"/>
      </w:pPr>
      <w:r>
        <w:rPr>
          <w:rFonts w:ascii="Times New Roman" w:hAnsi="Times New Roman"/>
          <w:color w:val="646464"/>
          <w:sz w:val="15"/>
        </w:rPr>
        <w:t>Vergabekammer des Landes Musterland · Bauhofstraße 4, 99999 Musterstadt</w:t>
      </w:r>
    </w:p>
    <w:p>
      <w:pPr>
        <w:spacing w:after="240"/>
      </w:pPr>
      <w:r>
        <w:t>Beteiligte im Verfahren VK ML 7-19/26</w:t>
      </w:r>
    </w:p>
    <w:p>
      <w:pPr>
        <w:pStyle w:val="Title"/>
      </w:pPr>
      <w:r>
        <w:t>Beschluss Dachsanierung Stadthalle Musterstadt</w:t>
      </w:r>
    </w:p>
    <w:p>
      <w:pPr>
        <w:pStyle w:val="Heading1"/>
      </w:pPr>
      <w:r>
        <w:t>Tenor</w:t>
      </w:r>
    </w:p>
    <w:p>
      <w:pPr>
        <w:pStyle w:val="ListNumber"/>
      </w:pPr>
      <w:r>
        <w:t>Der Antragsgegnerin wird untersagt, im Vergabeverfahren HB-STH-2026-019 auf Grundlage der unveränderten Position 03.02.140 den Zuschlag zu erteilen.</w:t>
      </w:r>
    </w:p>
    <w:p>
      <w:pPr>
        <w:pStyle w:val="ListNumber"/>
      </w:pPr>
      <w:r>
        <w:t>Bei fortbestehender Beschaffungsabsicht wird die Antragsgegnerin verpflichtet, das Verfahren in den Stand vor Ablauf der Angebotsfrist zurückzuversetzen, die technischen Anforderungen produktneutral und überprüfbar zu fassen und eine angemessene neue Angebotsfrist zu bestimmen.</w:t>
      </w:r>
    </w:p>
    <w:p>
      <w:pPr>
        <w:pStyle w:val="ListNumber"/>
      </w:pPr>
      <w:r>
        <w:t>Im Übrigen wird der Nachprüfungsantrag zurückgewiesen.</w:t>
      </w:r>
    </w:p>
    <w:p>
      <w:pPr>
        <w:pStyle w:val="ListNumber"/>
      </w:pPr>
      <w:r>
        <w:t>Die Kosten des Verfahrens tragen die Antragstellerin zu einem Viertel und die Antragsgegnerin zu drei Vierteln. Die Hinzuziehung der Verfahrensbevollmächtigten war notwendig.</w:t>
      </w:r>
    </w:p>
    <w:p>
      <w:pPr>
        <w:pStyle w:val="Heading1"/>
      </w:pPr>
      <w:r>
        <w:t>Gründe</w:t>
      </w:r>
    </w:p>
    <w:p>
      <w:pPr>
        <w:pStyle w:val="Heading2"/>
      </w:pPr>
      <w:r>
        <w:t>Zulässigkeit</w:t>
      </w:r>
    </w:p>
    <w:p>
      <w:r>
        <w:t>Die Antragstellerin hat ihr Interesse am Auftrag, eine mögliche Rechtsverletzung und einen drohenden Schaden dargelegt. Ihre Rüge vom 20.06.2026 ging vor Ablauf der Angebotsfrist ein. Der am 03.07.2026 eingereichte Antrag wahrt auch die Frist nach der Nichtabhilfe vom 25.06.2026.</w:t>
      </w:r>
    </w:p>
    <w:p>
      <w:pPr>
        <w:pStyle w:val="Heading2"/>
      </w:pPr>
      <w:r>
        <w:t>Begründetheit</w:t>
      </w:r>
    </w:p>
    <w:p>
      <w:r>
        <w:t>Die Leistungsbeschreibung war in der angegriffenen Position nicht eindeutig für gleichwertige Produkte geöffnet. Die Vergabeakte enthält weder eine vor Veröffentlichung abgeschlossene Prüfung technischer Alternativen noch eine Begründung, weshalb allein das bezeichnete Fabrikat den Bedarf deckt. Der in der mündlichen Verhandlung erläuterte Wunsch nach sicheren Anschlussdetails ist sachlich nachvollziehbar, lässt sich aber durch technische Mindestmerkmale und Nachweise abbilden.</w:t>
      </w:r>
    </w:p>
    <w:p>
      <w:pPr>
        <w:keepNext/>
        <w:keepLines/>
      </w:pPr>
      <w:r>
        <w:t>Die Kammer schreibt kein bestimmtes Alternativprodukt vor. Die Vergabestelle bleibt für die Bedarfsermittlung und die fachliche Gleichwertigkeitsprüfung verantwortlich. Sie muss jedoch denselben veröffentlichten Maßstab auf alle Angebote anwenden und die Entscheidung nachvollziehbar dokumentieren.</w:t>
      </w:r>
    </w:p>
    <w:p>
      <w:pPr>
        <w:pStyle w:val="Heading2"/>
        <w:keepNext/>
        <w:keepLines/>
      </w:pPr>
      <w:r>
        <w:t>Rechtsfolge</w:t>
      </w:r>
    </w:p>
    <w:p>
      <w:pPr>
        <w:keepNext/>
        <w:keepLines/>
      </w:pPr>
      <w:r>
        <w:t>Die vollständige Aufhebung ist nicht erforderlich. Eine Rückversetzung, Berichtigung und neue Angebotsfrist beseitigen den Verstoß bei geringerer Beeinträchtigung des Beschaffungsvorhabens. Die bislang eingereichten Angebote dürfen erst nach einer für alle Unternehmen transparenten Entscheidung über das weitere Verfahren geöffnet oder gewertet werden.</w:t>
      </w:r>
    </w:p>
    <w:p>
      <w:pPr>
        <w:pStyle w:val="Heading1"/>
        <w:keepNext/>
        <w:keepLines/>
      </w:pPr>
      <w:r>
        <w:t>Rechtsbehelfsbelehrung</w:t>
      </w:r>
    </w:p>
    <w:p>
      <w:pPr>
        <w:keepLines/>
      </w:pPr>
      <w:r>
        <w:t>Gegen diesen Beschluss ist die sofortige Beschwerde nach §§ 171 und 172 GWB statthaft. Die anwendbare Fassung und die Wirkungen der Beschwerde bestimmen sich nach dem durch § 187 Abs. 2 GWB maßgeblichen Beginn des Vergabeverfahrens.</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ML 7-19/26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Vergabekammer des Landes Musterland</w:t>
      <w:t xml:space="preserve">  |  VK ML 7-19/26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Beschluss Dachsanierung Stadthalle Musterstadt</dc:title>
  <dc:subject>Beschluss der Vergabekammer | Az. VK ML 7-19/26</dc:subject>
  <dc:creator>Vergabekammer des Landes Musterland</dc:creator>
  <cp:keywords>Vergaberecht, VK ML 7-19/26, Beschluss der Vergabekammer</cp:keywords>
  <dc:description>generated by python-docx</dc:description>
  <cp:lastModifiedBy>Vergabekammer des Landes Musterland</cp:lastModifiedBy>
  <cp:revision>1</cp:revision>
  <dcterms:created xsi:type="dcterms:W3CDTF">2000-01-01T00:00:00Z</dcterms:created>
  <dcterms:modified xsi:type="dcterms:W3CDTF">2000-01-01T00:00:00Z</dcterms:modified>
  <cp:category>Vergabeakte</cp:category>
</cp:coreProperties>
</file>