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Stadt Musterstadt - Fachbereich Hochbau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Bauhofstraße 4, 99999 Musterstadt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29.07.2026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HB-STH-2026-019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Gemeinsames Bestandsaufmaß und Kalkulationsprotokoll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Stadt Musterstadt - Fachbereich Hochbau · Bauhofstraße 4, 99999 Musterstadt</w:t>
      </w:r>
    </w:p>
    <w:p>
      <w:pPr>
        <w:spacing w:after="240"/>
      </w:pPr>
      <w:r>
        <w:t>Registrierte Unternehmen im Verfahren HB-STH-2026-019</w:t>
      </w:r>
    </w:p>
    <w:p>
      <w:pPr>
        <w:pStyle w:val="Title"/>
      </w:pPr>
      <w:r>
        <w:t>Bestandsaufmaß zu Dachfenstern und Heizungsanschlüssen nach Berichtigung</w:t>
      </w:r>
    </w:p>
    <w:p>
      <w:pPr>
        <w:pStyle w:val="Heading1"/>
      </w:pPr>
      <w:r>
        <w:t>1. Ortstermin</w:t>
      </w:r>
    </w:p>
    <w:p>
      <w:r>
        <w:t>Der Ortstermin fand am 28.07.2026 von 08:12 Uhr bis 11:46 Uhr statt. Für die Stadt nahmen Bauleiterin Dipl.-Ing. Anne Roth, TGA-Planer Markus Hellwig und Vergabesachbearbeiterin Lina Berger teil; elf von 17 registrierten Unternehmen waren vertreten. Alle Antworten werden gleichzeitig im Vergabeportal veröffentlicht.</w:t>
      </w:r>
    </w:p>
    <w:p>
      <w:r>
        <w:t>Die Halle blieb während der Begehung im Probebetrieb. Der Zugang zum westlichen Dachfeld war wegen einer Bühnenprobe zwischen 09:20 Uhr und 09:55 Uhr gesperrt. Die Maße dieses Feldes wurden deshalb aus dem Bestandsplan B-1998-17 übernommen und am Folgetag durch das Planungsbüro kontrolliert.</w:t>
      </w:r>
    </w:p>
    <w:p>
      <w:pPr>
        <w:pStyle w:val="Heading1"/>
      </w:pPr>
      <w:r>
        <w:t>2. Aufmaß Position 03.02.140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1565"/>
        <w:gridCol w:w="1807"/>
        <w:gridCol w:w="1765"/>
        <w:gridCol w:w="1565"/>
        <w:gridCol w:w="2368"/>
      </w:tblGrid>
      <w:tr>
        <w:trPr>
          <w:tblHeader w:val="true"/>
          <w:cantSplit/>
        </w:trPr>
        <w:tc>
          <w:tcPr>
            <w:tcW w:type="dxa" w:w="15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Fenster</w:t>
            </w:r>
          </w:p>
        </w:tc>
        <w:tc>
          <w:tcPr>
            <w:tcW w:type="dxa" w:w="18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Bestandsöffnung Breite</w:t>
            </w:r>
          </w:p>
        </w:tc>
        <w:tc>
          <w:tcPr>
            <w:tcW w:type="dxa" w:w="17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Bestandsöffnung Höhe</w:t>
            </w:r>
          </w:p>
        </w:tc>
        <w:tc>
          <w:tcPr>
            <w:tcW w:type="dxa" w:w="15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Dachneigung</w:t>
            </w:r>
          </w:p>
        </w:tc>
        <w:tc>
          <w:tcPr>
            <w:tcW w:type="dxa" w:w="23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Besonderheit</w:t>
            </w:r>
          </w:p>
        </w:tc>
      </w:tr>
      <w:tr>
        <w:trPr>
          <w:cantSplit/>
        </w:trPr>
        <w:tc>
          <w:tcPr>
            <w:tcW w:type="dxa" w:w="15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D-01 bis D-04</w:t>
            </w:r>
          </w:p>
        </w:tc>
        <w:tc>
          <w:tcPr>
            <w:tcW w:type="dxa" w:w="18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792 bis 797 mm</w:t>
            </w:r>
          </w:p>
        </w:tc>
        <w:tc>
          <w:tcPr>
            <w:tcW w:type="dxa" w:w="17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1.192 bis 1.198 mm</w:t>
            </w:r>
          </w:p>
        </w:tc>
        <w:tc>
          <w:tcPr>
            <w:tcW w:type="dxa" w:w="15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35.4 Grad</w:t>
            </w:r>
          </w:p>
        </w:tc>
        <w:tc>
          <w:tcPr>
            <w:tcW w:type="dxa" w:w="23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Schalung 24 mm, Unterspannbahn partiell erneuert</w:t>
            </w:r>
          </w:p>
        </w:tc>
      </w:tr>
      <w:tr>
        <w:trPr>
          <w:cantSplit/>
        </w:trPr>
        <w:tc>
          <w:tcPr>
            <w:tcW w:type="dxa" w:w="15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D-05 bis D-08</w:t>
            </w:r>
          </w:p>
        </w:tc>
        <w:tc>
          <w:tcPr>
            <w:tcW w:type="dxa" w:w="18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788 bis 794 mm</w:t>
            </w:r>
          </w:p>
        </w:tc>
        <w:tc>
          <w:tcPr>
            <w:tcW w:type="dxa" w:w="17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1.187 bis 1.195 mm</w:t>
            </w:r>
          </w:p>
        </w:tc>
        <w:tc>
          <w:tcPr>
            <w:tcW w:type="dxa" w:w="15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34.8 Grad</w:t>
            </w:r>
          </w:p>
        </w:tc>
        <w:tc>
          <w:tcPr>
            <w:tcW w:type="dxa" w:w="23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Sparrenabstand bei D-07 nur 816 mm</w:t>
            </w:r>
          </w:p>
        </w:tc>
      </w:tr>
      <w:tr>
        <w:trPr>
          <w:cantSplit/>
        </w:trPr>
        <w:tc>
          <w:tcPr>
            <w:tcW w:type="dxa" w:w="15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D-09 bis D-12</w:t>
            </w:r>
          </w:p>
        </w:tc>
        <w:tc>
          <w:tcPr>
            <w:tcW w:type="dxa" w:w="18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Planmaß 790 mm</w:t>
            </w:r>
          </w:p>
        </w:tc>
        <w:tc>
          <w:tcPr>
            <w:tcW w:type="dxa" w:w="17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Planmaß 1.195 mm</w:t>
            </w:r>
          </w:p>
        </w:tc>
        <w:tc>
          <w:tcPr>
            <w:tcW w:type="dxa" w:w="15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35.0 Grad</w:t>
            </w:r>
          </w:p>
        </w:tc>
        <w:tc>
          <w:tcPr>
            <w:tcW w:type="dxa" w:w="23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Vor-Ort-Kontrolle am 29.07.2026 nachgeholt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Die Toleranz von höchstens 5 mm betrifft das Außenmaß des angebotenen Fensters, nicht die Rohbauöffnung. Anpassungen der Wechselhölzer und Anschlusskeile sind in Position 03.02.140 einzukalkulieren; Hauptsparren bleiben unberührt.</w:t>
      </w:r>
    </w:p>
    <w:p>
      <w:pPr>
        <w:pStyle w:val="Heading1"/>
        <w:keepNext/>
        <w:keepLines/>
      </w:pPr>
      <w:r>
        <w:t>3. Aufmaß Position 04.01.020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660"/>
        <w:gridCol w:w="2186"/>
        <w:gridCol w:w="2447"/>
        <w:gridCol w:w="2778"/>
      </w:tblGrid>
      <w:tr>
        <w:trPr>
          <w:tblHeader w:val="true"/>
          <w:cantSplit/>
        </w:trPr>
        <w:tc>
          <w:tcPr>
            <w:tcW w:type="dxa" w:w="16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Strang</w:t>
            </w:r>
          </w:p>
        </w:tc>
        <w:tc>
          <w:tcPr>
            <w:tcW w:type="dxa" w:w="21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Anschlussbestand</w:t>
            </w:r>
          </w:p>
        </w:tc>
        <w:tc>
          <w:tcPr>
            <w:tcW w:type="dxa" w:w="244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geplante Leistung</w:t>
            </w:r>
          </w:p>
        </w:tc>
        <w:tc>
          <w:tcPr>
            <w:tcW w:type="dxa" w:w="277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Kalkulationshinweis</w:t>
            </w:r>
          </w:p>
        </w:tc>
      </w:tr>
      <w:tr>
        <w:trPr>
          <w:cantSplit/>
        </w:trPr>
        <w:tc>
          <w:tcPr>
            <w:tcW w:type="dxa" w:w="16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H-1 Nordfoyer</w:t>
            </w:r>
          </w:p>
        </w:tc>
        <w:tc>
          <w:tcPr>
            <w:tcW w:type="dxa" w:w="21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Stahl DN 65, Flansch PN 6</w:t>
            </w:r>
          </w:p>
        </w:tc>
        <w:tc>
          <w:tcPr>
            <w:tcW w:type="dxa" w:w="244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Übergang auf neue Pumpengruppe</w:t>
            </w:r>
          </w:p>
        </w:tc>
        <w:tc>
          <w:tcPr>
            <w:tcW w:type="dxa" w:w="277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zwei Übergangsstücke und temporäre Absperrung enthalten</w:t>
            </w:r>
          </w:p>
        </w:tc>
      </w:tr>
      <w:tr>
        <w:trPr>
          <w:cantSplit/>
        </w:trPr>
        <w:tc>
          <w:tcPr>
            <w:tcW w:type="dxa" w:w="16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H-2 Saal</w:t>
            </w:r>
          </w:p>
        </w:tc>
        <w:tc>
          <w:tcPr>
            <w:tcW w:type="dxa" w:w="21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Stahl DN 80, Flansch PN 10</w:t>
            </w:r>
          </w:p>
        </w:tc>
        <w:tc>
          <w:tcPr>
            <w:tcW w:type="dxa" w:w="244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hydraulische Einbindung Heizkreis Saal</w:t>
            </w:r>
          </w:p>
        </w:tc>
        <w:tc>
          <w:tcPr>
            <w:tcW w:type="dxa" w:w="277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Nachtabschaltung am 14.09.2026 vorgesehen</w:t>
            </w:r>
          </w:p>
        </w:tc>
      </w:tr>
      <w:tr>
        <w:trPr>
          <w:cantSplit/>
        </w:trPr>
        <w:tc>
          <w:tcPr>
            <w:tcW w:type="dxa" w:w="16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H-3 Bühne</w:t>
            </w:r>
          </w:p>
        </w:tc>
        <w:tc>
          <w:tcPr>
            <w:tcW w:type="dxa" w:w="218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Mischinstallation Stahl/Kupfer</w:t>
            </w:r>
          </w:p>
        </w:tc>
        <w:tc>
          <w:tcPr>
            <w:tcW w:type="dxa" w:w="244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Austausch bis zur ersten zugänglichen Verschraubung</w:t>
            </w:r>
          </w:p>
        </w:tc>
        <w:tc>
          <w:tcPr>
            <w:tcW w:type="dxa" w:w="277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7.5 Meter Rohrleitung als Abrechnungsansatz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Für H-3 nennt das PDF-LV Version 04 eine Menge von 5 Metern, die GAEB-X83-Datei 7.5 Meter. Berichtigung 04a setzt in beiden Dateien einheitlich 7.5 Meter fest; die Preisposition bleibt unverändert.</w:t>
      </w:r>
    </w:p>
    <w:p>
      <w:pPr>
        <w:pStyle w:val="Heading1"/>
        <w:keepNext/>
        <w:keepLines/>
      </w:pPr>
      <w:r>
        <w:t>4. Bieterfragen und Antworten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661"/>
        <w:gridCol w:w="3297"/>
        <w:gridCol w:w="4113"/>
      </w:tblGrid>
      <w:tr>
        <w:trPr>
          <w:tblHeader w:val="true"/>
          <w:cantSplit/>
        </w:trPr>
        <w:tc>
          <w:tcPr>
            <w:tcW w:type="dxa" w:w="16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laufende Nummer</w:t>
            </w:r>
          </w:p>
        </w:tc>
        <w:tc>
          <w:tcPr>
            <w:tcW w:type="dxa" w:w="329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Frage</w:t>
            </w:r>
          </w:p>
        </w:tc>
        <w:tc>
          <w:tcPr>
            <w:tcW w:type="dxa" w:w="41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Antwort der Vergabestelle</w:t>
            </w:r>
          </w:p>
        </w:tc>
      </w:tr>
      <w:tr>
        <w:trPr>
          <w:cantSplit/>
        </w:trPr>
        <w:tc>
          <w:tcPr>
            <w:tcW w:type="dxa" w:w="16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41</w:t>
            </w:r>
          </w:p>
        </w:tc>
        <w:tc>
          <w:tcPr>
            <w:tcW w:type="dxa" w:w="329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Darf ein System mit Außenmaß 780 x 1.180 mm und abweichendem Eindeckrahmen angeboten werden?</w:t>
            </w:r>
          </w:p>
        </w:tc>
        <w:tc>
          <w:tcPr>
            <w:tcW w:type="dxa" w:w="41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Ja, wenn sämtliche Mindestmerkmale und der funktionsfähige Gesamtanschluss nachgewiesen werden.</w:t>
            </w:r>
          </w:p>
        </w:tc>
      </w:tr>
      <w:tr>
        <w:trPr>
          <w:cantSplit/>
        </w:trPr>
        <w:tc>
          <w:tcPr>
            <w:tcW w:type="dxa" w:w="16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42</w:t>
            </w:r>
          </w:p>
        </w:tc>
        <w:tc>
          <w:tcPr>
            <w:tcW w:type="dxa" w:w="329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Ist eine zehnjährige Ersatzteilzusage des Händlers ausreichend?</w:t>
            </w:r>
          </w:p>
        </w:tc>
        <w:tc>
          <w:tcPr>
            <w:tcW w:type="dxa" w:w="41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Ja, sofern sie die konkrete Produktlinie bindend erfasst; eine bloße Herstellerbroschüre ohne Laufzeitzusage genügt nicht.</w:t>
            </w:r>
          </w:p>
        </w:tc>
      </w:tr>
      <w:tr>
        <w:trPr>
          <w:cantSplit/>
        </w:trPr>
        <w:tc>
          <w:tcPr>
            <w:tcW w:type="dxa" w:w="16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43</w:t>
            </w:r>
          </w:p>
        </w:tc>
        <w:tc>
          <w:tcPr>
            <w:tcW w:type="dxa" w:w="329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Werden Mehrkosten aus unregelmäßigen Rohbauöffnungen gesondert vergütet?</w:t>
            </w:r>
          </w:p>
        </w:tc>
        <w:tc>
          <w:tcPr>
            <w:tcW w:type="dxa" w:w="41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Nein, die dokumentierten Abweichungen sind in Position 03.02.140 einzukalkulieren. Nicht erkennbare Substanzabweichungen bleiben dem Vertragsrecht vorbehalten.</w:t>
            </w:r>
          </w:p>
        </w:tc>
      </w:tr>
      <w:tr>
        <w:trPr>
          <w:cantSplit/>
        </w:trPr>
        <w:tc>
          <w:tcPr>
            <w:tcW w:type="dxa" w:w="16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329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Welcher Datenstand gilt bei Widerspruch zwischen PDF und GAEB?</w:t>
            </w:r>
          </w:p>
        </w:tc>
        <w:tc>
          <w:tcPr>
            <w:tcW w:type="dxa" w:w="41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Nach Berichtigung 04a sind beide Fassungen inhaltlich identisch. Vorherige Dateien sind nicht zu verwenden.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5. Versions- und Importprüfung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261"/>
        <w:gridCol w:w="1540"/>
        <w:gridCol w:w="1602"/>
        <w:gridCol w:w="1843"/>
        <w:gridCol w:w="1825"/>
      </w:tblGrid>
      <w:tr>
        <w:trPr>
          <w:tblHeader w:val="true"/>
          <w:cantSplit/>
        </w:trPr>
        <w:tc>
          <w:tcPr>
            <w:tcW w:type="dxa" w:w="22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Datei</w:t>
            </w:r>
          </w:p>
        </w:tc>
        <w:tc>
          <w:tcPr>
            <w:tcW w:type="dxa" w:w="15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6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Erzeugt</w:t>
            </w:r>
          </w:p>
        </w:tc>
        <w:tc>
          <w:tcPr>
            <w:tcW w:type="dxa" w:w="18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Rücklesetest</w:t>
            </w:r>
          </w:p>
        </w:tc>
        <w:tc>
          <w:tcPr>
            <w:tcW w:type="dxa" w:w="182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Ergebnis</w:t>
            </w:r>
          </w:p>
        </w:tc>
      </w:tr>
      <w:tr>
        <w:trPr>
          <w:cantSplit/>
        </w:trPr>
        <w:tc>
          <w:tcPr>
            <w:tcW w:type="dxa" w:w="22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LV_Stadthalle_04a.pdf</w:t>
            </w:r>
          </w:p>
        </w:tc>
        <w:tc>
          <w:tcPr>
            <w:tcW w:type="dxa" w:w="15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04a</w:t>
            </w:r>
          </w:p>
        </w:tc>
        <w:tc>
          <w:tcPr>
            <w:tcW w:type="dxa" w:w="16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29.07.2026, 15:08 Uhr</w:t>
            </w:r>
          </w:p>
        </w:tc>
        <w:tc>
          <w:tcPr>
            <w:tcW w:type="dxa" w:w="18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Sichtprüfung Seite 47</w:t>
            </w:r>
          </w:p>
        </w:tc>
        <w:tc>
          <w:tcPr>
            <w:tcW w:type="dxa" w:w="182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Menge und Text berichtigt</w:t>
            </w:r>
          </w:p>
        </w:tc>
      </w:tr>
      <w:tr>
        <w:trPr>
          <w:cantSplit/>
        </w:trPr>
        <w:tc>
          <w:tcPr>
            <w:tcW w:type="dxa" w:w="22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LV_Stadthalle_04a.x83</w:t>
            </w:r>
          </w:p>
        </w:tc>
        <w:tc>
          <w:tcPr>
            <w:tcW w:type="dxa" w:w="15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04a</w:t>
            </w:r>
          </w:p>
        </w:tc>
        <w:tc>
          <w:tcPr>
            <w:tcW w:type="dxa" w:w="16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29.07.2026, 15:12 Uhr</w:t>
            </w:r>
          </w:p>
        </w:tc>
        <w:tc>
          <w:tcPr>
            <w:tcW w:type="dxa" w:w="18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Import AVA-Bau 11.4</w:t>
            </w:r>
          </w:p>
        </w:tc>
        <w:tc>
          <w:tcPr>
            <w:tcW w:type="dxa" w:w="182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Positionen und Mengen vollständig</w:t>
            </w:r>
          </w:p>
        </w:tc>
      </w:tr>
      <w:tr>
        <w:trPr>
          <w:cantSplit/>
        </w:trPr>
        <w:tc>
          <w:tcPr>
            <w:tcW w:type="dxa" w:w="22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Bieterfragen_41_44.pdf</w:t>
            </w:r>
          </w:p>
        </w:tc>
        <w:tc>
          <w:tcPr>
            <w:tcW w:type="dxa" w:w="15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02</w:t>
            </w:r>
          </w:p>
        </w:tc>
        <w:tc>
          <w:tcPr>
            <w:tcW w:type="dxa" w:w="16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29.07.2026, 15:21 Uhr</w:t>
            </w:r>
          </w:p>
        </w:tc>
        <w:tc>
          <w:tcPr>
            <w:tcW w:type="dxa" w:w="18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Vier-Augen-Lesung</w:t>
            </w:r>
          </w:p>
        </w:tc>
        <w:tc>
          <w:tcPr>
            <w:tcW w:type="dxa" w:w="182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Antworten vollständig</w:t>
            </w:r>
          </w:p>
        </w:tc>
      </w:tr>
      <w:tr>
        <w:trPr>
          <w:cantSplit/>
        </w:trPr>
        <w:tc>
          <w:tcPr>
            <w:tcW w:type="dxa" w:w="22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Aufmass_Dach_Heizung.xlsx</w:t>
            </w:r>
          </w:p>
        </w:tc>
        <w:tc>
          <w:tcPr>
            <w:tcW w:type="dxa" w:w="154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01</w:t>
            </w:r>
          </w:p>
        </w:tc>
        <w:tc>
          <w:tcPr>
            <w:tcW w:type="dxa" w:w="160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29.07.2026, 14:43 Uhr</w:t>
            </w:r>
          </w:p>
        </w:tc>
        <w:tc>
          <w:tcPr>
            <w:tcW w:type="dxa" w:w="18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Summenkontrolle</w:t>
            </w:r>
          </w:p>
        </w:tc>
        <w:tc>
          <w:tcPr>
            <w:tcW w:type="dxa" w:w="182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zwölf Fenster, drei Heizstränge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Die Dateien wurden am 29.07.2026 um 16:02 Uhr im Portal bereitgestellt. Die Angebotsfrist vom 20.08.2026, 12:00 Uhr, bleibt bestehen. Die Vergabestelle prüft am 05.08.2026 anhand der eingehenden Bieterfragen, ob eine weitere Fristverlängerung erforderlich wird.</w:t>
      </w:r>
    </w:p>
    <w:p>
      <w:pPr>
        <w:pStyle w:val="Heading1"/>
        <w:keepNext/>
        <w:keepLines/>
      </w:pPr>
      <w:r>
        <w:t>6. Unterschriften</w:t>
      </w:r>
    </w:p>
    <w:p>
      <w:pPr>
        <w:keepLines/>
      </w:pPr>
      <w:r>
        <w:t>Anne Roth, Bauleitung; Markus Hellwig, TGA-Planung; Lina Berger, Zentrale Vergabestelle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HB-STH-2026-019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Stadt Musterstadt - Fachbereich Hochbau</w:t>
      <w:t xml:space="preserve">  |  HB-STH-2026-019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Bestandsaufmaß zu Dachfenstern und Heizungsanschlüssen nach Berichtigung</dc:title>
  <dc:subject>Gemeinsames Bestandsaufmaß und Kalkulationsprotokoll | Az. HB-STH-2026-019</dc:subject>
  <dc:creator>Stadt Musterstadt - Fachbereich Hochbau</dc:creator>
  <cp:keywords>Vergaberecht, HB-STH-2026-019, Gemeinsames Bestandsaufmaß und Kalkulationsprotokoll</cp:keywords>
  <dc:description>generated by python-docx</dc:description>
  <cp:lastModifiedBy>Stadt Musterstadt - Fachbereich Hochbau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