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Beratung Mustertal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Campusstraße 9, 88770 Mustertal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04.07.2026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BM-2026-CYBER-005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Prüfnotiz Teilnahmewettbewerb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Beratung Mustertal GmbH · Campusstraße 9, 88770 Mustertal</w:t>
      </w:r>
    </w:p>
    <w:p>
      <w:pPr>
        <w:keepNext/>
        <w:keepLines/>
        <w:spacing w:after="240"/>
      </w:pPr>
      <w:r>
        <w:t>Interne Projektakte BM-2026-CYBER-005</w:t>
      </w:r>
    </w:p>
    <w:p>
      <w:pPr>
        <w:pStyle w:val="Title"/>
        <w:keepNext/>
        <w:keepLines/>
      </w:pPr>
      <w:r>
        <w:t>Prüfnotiz Teilnahmewettbewerb Cybersicherheitsberatung</w:t>
      </w:r>
    </w:p>
    <w:p>
      <w:pPr>
        <w:pStyle w:val="Heading1"/>
        <w:keepNext/>
        <w:keepLines/>
      </w:pPr>
      <w:r>
        <w:t>1. Rollenentscheidung</w:t>
      </w:r>
    </w:p>
    <w:p>
      <w:pPr>
        <w:keepNext/>
        <w:keepLines/>
      </w:pPr>
      <w:r>
        <w:t>Beratung Mustertal nimmt nicht allein teil, sondern bildet mit Beratung Norddeutschland GmbH eine Bietergemeinschaft. Dadurch werden Umsatz, Referenzen und Personalkapazität ohne Drittunternehmensleihe gebündelt.</w:t>
      </w:r>
    </w:p>
    <w:p>
      <w:pPr>
        <w:pStyle w:val="Heading1"/>
        <w:keepNext/>
        <w:keepLines/>
      </w:pPr>
      <w:r>
        <w:t>2. Eignungslücken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2480"/>
        <w:gridCol w:w="2032"/>
        <w:gridCol w:w="2420"/>
        <w:gridCol w:w="2140"/>
      </w:tblGrid>
      <w:tr>
        <w:trPr>
          <w:tblHeader w:val="true"/>
          <w:cantSplit/>
        </w:trPr>
        <w:tc>
          <w:tcPr>
            <w:tcW w:type="dxa" w:w="248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Anforderung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Beratung Mustertal</w:t>
            </w:r>
          </w:p>
        </w:tc>
        <w:tc>
          <w:tcPr>
            <w:tcW w:type="dxa" w:w="24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Beratung Norddeutschland</w:t>
            </w:r>
          </w:p>
        </w:tc>
        <w:tc>
          <w:tcPr>
            <w:tcW w:type="dxa" w:w="21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248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 5 Mio. EUR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4.2 Mio. EUR</w:t>
            </w:r>
          </w:p>
        </w:tc>
        <w:tc>
          <w:tcPr>
            <w:tcW w:type="dxa" w:w="24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1.1 Mio. EUR</w:t>
            </w:r>
          </w:p>
        </w:tc>
        <w:tc>
          <w:tcPr>
            <w:tcW w:type="dxa" w:w="21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gemeinsam erfüllt</w:t>
            </w:r>
          </w:p>
        </w:tc>
      </w:tr>
      <w:tr>
        <w:trPr>
          <w:cantSplit/>
        </w:trPr>
        <w:tc>
          <w:tcPr>
            <w:tcW w:type="dxa" w:w="248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fünf Referenzen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drei</w:t>
            </w:r>
          </w:p>
        </w:tc>
        <w:tc>
          <w:tcPr>
            <w:tcW w:type="dxa" w:w="24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</w:t>
            </w:r>
          </w:p>
        </w:tc>
        <w:tc>
          <w:tcPr>
            <w:tcW w:type="dxa" w:w="21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gemeinsam erfüllt</w:t>
            </w:r>
          </w:p>
        </w:tc>
      </w:tr>
      <w:tr>
        <w:trPr>
          <w:cantSplit/>
        </w:trPr>
        <w:tc>
          <w:tcPr>
            <w:tcW w:type="dxa" w:w="248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OSCP/CISSP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sechs Personen</w:t>
            </w:r>
          </w:p>
        </w:tc>
        <w:tc>
          <w:tcPr>
            <w:tcW w:type="dxa" w:w="24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drei Personen</w:t>
            </w:r>
          </w:p>
        </w:tc>
        <w:tc>
          <w:tcPr>
            <w:tcW w:type="dxa" w:w="21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erfüllt</w:t>
            </w:r>
          </w:p>
        </w:tc>
      </w:tr>
      <w:tr>
        <w:trPr>
          <w:cantSplit/>
        </w:trPr>
        <w:tc>
          <w:tcPr>
            <w:tcW w:type="dxa" w:w="248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24/7-Reaktionsdienst</w:t>
            </w:r>
          </w:p>
        </w:tc>
        <w:tc>
          <w:tcPr>
            <w:tcW w:type="dxa" w:w="203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nur werktags</w:t>
            </w:r>
          </w:p>
        </w:tc>
        <w:tc>
          <w:tcPr>
            <w:tcW w:type="dxa" w:w="24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Rufbereitschaft</w:t>
            </w:r>
          </w:p>
        </w:tc>
        <w:tc>
          <w:tcPr>
            <w:tcW w:type="dxa" w:w="21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Konzept erforderlich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Vergaberisiko</w:t>
      </w:r>
    </w:p>
    <w:p>
      <w:pPr>
        <w:keepLines/>
      </w:pPr>
      <w:r>
        <w:t>Die Auswahlmatrix enthält ein Distanzkriterium zum Ministeriumssitz. Dieses Kriterium ist erkennbar diskriminierend, wenn es nicht als konkrete Reaktionszeit, sondern als Sitznähe bewertet wird. Rüge wird vorbereitet.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BM-2026-CYBER-005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Beratung Mustertal GmbH</w:t>
      <w:t xml:space="preserve">  |  BM-2026-CYBER-005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Prüfnotiz Teilnahmewettbewerb Cybersicherheitsberatung</dc:title>
  <dc:subject>Prüfnotiz Teilnahmewettbewerb | Az. BM-2026-CYBER-005</dc:subject>
  <dc:creator>Beratung Mustertal GmbH</dc:creator>
  <cp:keywords>Vergaberecht, BM-2026-CYBER-005, Prüfnotiz Teilnahmewettbewerb</cp:keywords>
  <dc:description>generated by python-docx</dc:description>
  <cp:lastModifiedBy>Beratung Mustertal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