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Ministerium des Innern Musterland - Zentrale Vergabestelle</w:t>
            </w:r>
          </w:p>
          <w:p>
            <w:pPr>
              <w:spacing w:after="0"/>
            </w:pPr>
            <w:r>
              <w:rPr>
                <w:color w:val="646464"/>
                <w:sz w:val="18"/>
              </w:rPr>
              <w:t>Schlossgasse 1, 88888 Musterhausen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04.09.2026</w:t>
              <w:br/>
            </w:r>
            <w:r>
              <w:rPr>
                <w:rFonts w:ascii="Times New Roman" w:hAnsi="Times New Roman"/>
                <w:color w:val="646464"/>
                <w:sz w:val="18"/>
              </w:rPr>
              <w:t>Aktenzeichen: MID-STRAT-2026-07 / Verg 6/26</w:t>
              <w:br/>
            </w:r>
            <w:r>
              <w:rPr>
                <w:rFonts w:ascii="Times New Roman" w:hAnsi="Times New Roman"/>
                <w:color w:val="646464"/>
                <w:sz w:val="18"/>
              </w:rPr>
              <w:t>Umsetzungs- und Verfahrensvermerk</w:t>
            </w:r>
          </w:p>
        </w:tc>
      </w:tr>
    </w:tbl>
    <w:p>
      <w:pPr>
        <w:spacing w:before="200" w:after="40"/>
      </w:pPr>
      <w:r>
        <w:rPr>
          <w:rFonts w:ascii="Times New Roman" w:hAnsi="Times New Roman"/>
          <w:color w:val="646464"/>
          <w:sz w:val="15"/>
        </w:rPr>
        <w:t>Ministerium des Innern Musterland - Zentrale Vergabestelle · Schlossgasse 1, 88888 Musterhausen</w:t>
      </w:r>
    </w:p>
    <w:p>
      <w:pPr>
        <w:spacing w:after="240"/>
      </w:pPr>
      <w:r>
        <w:t>Vergabeakte MID-STRAT-2026-07</w:t>
      </w:r>
    </w:p>
    <w:p>
      <w:pPr>
        <w:pStyle w:val="Title"/>
      </w:pPr>
      <w:r>
        <w:t>Umsetzung des gerichtlichen Vergleichs</w:t>
      </w:r>
    </w:p>
    <w:p>
      <w:pPr>
        <w:pStyle w:val="Heading1"/>
      </w:pPr>
      <w:r>
        <w:t>1. Rückversetzung</w:t>
      </w:r>
    </w:p>
    <w:p>
      <w:r>
        <w:t>Der Teilnahmewettbewerb wird in den Stand vor Ablauf der Teilnahmefrist zurückversetzt. Die bisherige Auswahlentscheidung und sämtliche darauf aufbauenden Einladungen zur Angebotsabgabe werden aufgehoben. Der gerichtliche Vergleich vom 03.09.2026 wird vollständig in der Vergabeakte hinterlegt.</w:t>
      </w:r>
    </w:p>
    <w:p>
      <w:pPr>
        <w:pStyle w:val="Heading1"/>
      </w:pPr>
      <w:r>
        <w:t>2. Trennung der Prüfungsstufen</w:t>
      </w:r>
    </w:p>
    <w:tbl>
      <w:tblPr>
        <w:tblStyle w:val="TableGrid"/>
        <w:tblW w:type="dxa" w:w="9072"/>
        <w:jc w:val="left"/>
        <w:tblLayout w:type="fixed"/>
        <w:tblLook w:firstColumn="1" w:firstRow="1" w:lastColumn="0" w:lastRow="0" w:noHBand="0" w:noVBand="1" w:val="04A0"/>
      </w:tblPr>
      <w:tblGrid>
        <w:gridCol w:w="2252"/>
        <w:gridCol w:w="3657"/>
        <w:gridCol w:w="3163"/>
      </w:tblGrid>
      <w:tr>
        <w:trPr>
          <w:tblHeader w:val="true"/>
          <w:cantSplit/>
        </w:trPr>
        <w:tc>
          <w:tcPr>
            <w:tcW w:type="dxa" w:w="22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Prüfungsstufe</w:t>
            </w:r>
          </w:p>
        </w:tc>
        <w:tc>
          <w:tcPr>
            <w:tcW w:type="dxa" w:w="3657"/>
            <w:vAlign w:val="top"/>
            <w:tcMar>
              <w:top w:w="60" w:type="dxa"/>
              <w:start w:w="90" w:type="dxa"/>
              <w:bottom w:w="60" w:type="dxa"/>
              <w:end w:w="90" w:type="dxa"/>
            </w:tcMar>
            <w:shd w:fill="01696F"/>
          </w:tcPr>
          <w:p>
            <w:pPr>
              <w:keepLines/>
              <w:spacing w:after="0"/>
            </w:pPr>
            <w:r/>
            <w:r>
              <w:rPr>
                <w:rFonts w:ascii="Times New Roman" w:hAnsi="Times New Roman"/>
                <w:b/>
                <w:color w:val="FFFFFF"/>
                <w:sz w:val="17"/>
              </w:rPr>
              <w:t>zulässiger Gegenstand</w:t>
            </w:r>
          </w:p>
        </w:tc>
        <w:tc>
          <w:tcPr>
            <w:tcW w:type="dxa" w:w="3163"/>
            <w:vAlign w:val="top"/>
            <w:tcMar>
              <w:top w:w="60" w:type="dxa"/>
              <w:start w:w="90" w:type="dxa"/>
              <w:bottom w:w="60" w:type="dxa"/>
              <w:end w:w="90" w:type="dxa"/>
            </w:tcMar>
            <w:shd w:fill="01696F"/>
          </w:tcPr>
          <w:p>
            <w:pPr>
              <w:keepLines/>
              <w:spacing w:after="0"/>
            </w:pPr>
            <w:r/>
            <w:r>
              <w:rPr>
                <w:rFonts w:ascii="Times New Roman" w:hAnsi="Times New Roman"/>
                <w:b/>
                <w:color w:val="FFFFFF"/>
                <w:sz w:val="17"/>
              </w:rPr>
              <w:t>nicht erneut zu verwenden</w:t>
            </w:r>
          </w:p>
        </w:tc>
      </w:tr>
      <w:tr>
        <w:trPr>
          <w:cantSplit/>
        </w:trPr>
        <w:tc>
          <w:tcPr>
            <w:tcW w:type="dxa" w:w="2252"/>
            <w:vAlign w:val="top"/>
            <w:tcMar>
              <w:top w:w="60" w:type="dxa"/>
              <w:start w:w="90" w:type="dxa"/>
              <w:bottom w:w="60" w:type="dxa"/>
              <w:end w:w="90" w:type="dxa"/>
            </w:tcMar>
          </w:tcPr>
          <w:p>
            <w:pPr>
              <w:keepLines/>
              <w:spacing w:after="0"/>
            </w:pPr>
            <w:r/>
            <w:r>
              <w:rPr>
                <w:rFonts w:ascii="Times New Roman" w:hAnsi="Times New Roman"/>
                <w:sz w:val="17"/>
              </w:rPr>
              <w:t>Mindestanforderung Eignung</w:t>
            </w:r>
          </w:p>
        </w:tc>
        <w:tc>
          <w:tcPr>
            <w:tcW w:type="dxa" w:w="3657"/>
            <w:vAlign w:val="top"/>
            <w:tcMar>
              <w:top w:w="60" w:type="dxa"/>
              <w:start w:w="90" w:type="dxa"/>
              <w:bottom w:w="60" w:type="dxa"/>
              <w:end w:w="90" w:type="dxa"/>
            </w:tcMar>
          </w:tcPr>
          <w:p>
            <w:pPr>
              <w:keepLines/>
              <w:spacing w:after="0"/>
            </w:pPr>
            <w:r/>
            <w:r>
              <w:rPr>
                <w:rFonts w:ascii="Times New Roman" w:hAnsi="Times New Roman"/>
                <w:sz w:val="17"/>
              </w:rPr>
              <w:t>personelle und organisatorische Fähigkeit zur vereinbarten Rufbereitschaft</w:t>
            </w:r>
          </w:p>
        </w:tc>
        <w:tc>
          <w:tcPr>
            <w:tcW w:type="dxa" w:w="3163"/>
            <w:vAlign w:val="top"/>
            <w:tcMar>
              <w:top w:w="60" w:type="dxa"/>
              <w:start w:w="90" w:type="dxa"/>
              <w:bottom w:w="60" w:type="dxa"/>
              <w:end w:w="90" w:type="dxa"/>
            </w:tcMar>
          </w:tcPr>
          <w:p>
            <w:pPr>
              <w:keepLines/>
              <w:spacing w:after="0"/>
            </w:pPr>
            <w:r/>
            <w:r>
              <w:rPr>
                <w:rFonts w:ascii="Times New Roman" w:hAnsi="Times New Roman"/>
                <w:sz w:val="17"/>
              </w:rPr>
              <w:t>Unternehmenssitz oder Luftlinienentfernung</w:t>
            </w:r>
          </w:p>
        </w:tc>
      </w:tr>
      <w:tr>
        <w:trPr>
          <w:cantSplit/>
        </w:trPr>
        <w:tc>
          <w:tcPr>
            <w:tcW w:type="dxa" w:w="2252"/>
            <w:vAlign w:val="top"/>
            <w:tcMar>
              <w:top w:w="60" w:type="dxa"/>
              <w:start w:w="90" w:type="dxa"/>
              <w:bottom w:w="60" w:type="dxa"/>
              <w:end w:w="90" w:type="dxa"/>
            </w:tcMar>
            <w:shd w:fill="F1F3F3"/>
          </w:tcPr>
          <w:p>
            <w:pPr>
              <w:keepLines/>
              <w:spacing w:after="0"/>
            </w:pPr>
            <w:r/>
            <w:r>
              <w:rPr>
                <w:rFonts w:ascii="Times New Roman" w:hAnsi="Times New Roman"/>
                <w:sz w:val="17"/>
              </w:rPr>
              <w:t>Bewerberauswahl</w:t>
            </w:r>
          </w:p>
        </w:tc>
        <w:tc>
          <w:tcPr>
            <w:tcW w:type="dxa" w:w="3657"/>
            <w:vAlign w:val="top"/>
            <w:tcMar>
              <w:top w:w="60" w:type="dxa"/>
              <w:start w:w="90" w:type="dxa"/>
              <w:bottom w:w="60" w:type="dxa"/>
              <w:end w:w="90" w:type="dxa"/>
            </w:tcMar>
            <w:shd w:fill="F1F3F3"/>
          </w:tcPr>
          <w:p>
            <w:pPr>
              <w:keepLines/>
              <w:spacing w:after="0"/>
            </w:pPr>
            <w:r/>
            <w:r>
              <w:rPr>
                <w:rFonts w:ascii="Times New Roman" w:hAnsi="Times New Roman"/>
                <w:sz w:val="17"/>
              </w:rPr>
              <w:t>Erfahrung des benannten Teams und vergleichbare Krisenreferenzen</w:t>
            </w:r>
          </w:p>
        </w:tc>
        <w:tc>
          <w:tcPr>
            <w:tcW w:type="dxa" w:w="3163"/>
            <w:vAlign w:val="top"/>
            <w:tcMar>
              <w:top w:w="60" w:type="dxa"/>
              <w:start w:w="90" w:type="dxa"/>
              <w:bottom w:w="60" w:type="dxa"/>
              <w:end w:w="90" w:type="dxa"/>
            </w:tcMar>
            <w:shd w:fill="F1F3F3"/>
          </w:tcPr>
          <w:p>
            <w:pPr>
              <w:keepLines/>
              <w:spacing w:after="0"/>
            </w:pPr>
            <w:r/>
            <w:r>
              <w:rPr>
                <w:rFonts w:ascii="Times New Roman" w:hAnsi="Times New Roman"/>
                <w:sz w:val="17"/>
              </w:rPr>
              <w:t>bloße Nähe ohne Leistungsbezug</w:t>
            </w:r>
          </w:p>
        </w:tc>
      </w:tr>
      <w:tr>
        <w:trPr>
          <w:cantSplit/>
        </w:trPr>
        <w:tc>
          <w:tcPr>
            <w:tcW w:type="dxa" w:w="2252"/>
            <w:vAlign w:val="top"/>
            <w:tcMar>
              <w:top w:w="60" w:type="dxa"/>
              <w:start w:w="90" w:type="dxa"/>
              <w:bottom w:w="60" w:type="dxa"/>
              <w:end w:w="90" w:type="dxa"/>
            </w:tcMar>
          </w:tcPr>
          <w:p>
            <w:pPr>
              <w:keepLines/>
              <w:spacing w:after="0"/>
            </w:pPr>
            <w:r/>
            <w:r>
              <w:rPr>
                <w:rFonts w:ascii="Times New Roman" w:hAnsi="Times New Roman"/>
                <w:sz w:val="17"/>
              </w:rPr>
              <w:t>Angebotswertung</w:t>
            </w:r>
          </w:p>
        </w:tc>
        <w:tc>
          <w:tcPr>
            <w:tcW w:type="dxa" w:w="3657"/>
            <w:vAlign w:val="top"/>
            <w:tcMar>
              <w:top w:w="60" w:type="dxa"/>
              <w:start w:w="90" w:type="dxa"/>
              <w:bottom w:w="60" w:type="dxa"/>
              <w:end w:w="90" w:type="dxa"/>
            </w:tcMar>
          </w:tcPr>
          <w:p>
            <w:pPr>
              <w:keepLines/>
              <w:spacing w:after="0"/>
            </w:pPr>
            <w:r/>
            <w:r>
              <w:rPr>
                <w:rFonts w:ascii="Times New Roman" w:hAnsi="Times New Roman"/>
                <w:sz w:val="17"/>
              </w:rPr>
              <w:t>konkrete, verbindliche Reaktions- und Wiederherstellungsleistung</w:t>
            </w:r>
          </w:p>
        </w:tc>
        <w:tc>
          <w:tcPr>
            <w:tcW w:type="dxa" w:w="3163"/>
            <w:vAlign w:val="top"/>
            <w:tcMar>
              <w:top w:w="60" w:type="dxa"/>
              <w:start w:w="90" w:type="dxa"/>
              <w:bottom w:w="60" w:type="dxa"/>
              <w:end w:w="90" w:type="dxa"/>
            </w:tcMar>
          </w:tcPr>
          <w:p>
            <w:pPr>
              <w:keepLines/>
              <w:spacing w:after="0"/>
            </w:pPr>
            <w:r/>
            <w:r>
              <w:rPr>
                <w:rFonts w:ascii="Times New Roman" w:hAnsi="Times New Roman"/>
                <w:sz w:val="17"/>
              </w:rPr>
              <w:t>bereits bei der Eignung verbrauchte Unternehmenskennzahlen</w:t>
            </w:r>
          </w:p>
        </w:tc>
      </w:tr>
      <w:tr>
        <w:trPr>
          <w:cantSplit/>
        </w:trPr>
        <w:tc>
          <w:tcPr>
            <w:tcW w:type="dxa" w:w="2252"/>
            <w:vAlign w:val="top"/>
            <w:tcMar>
              <w:top w:w="60" w:type="dxa"/>
              <w:start w:w="90" w:type="dxa"/>
              <w:bottom w:w="60" w:type="dxa"/>
              <w:end w:w="90" w:type="dxa"/>
            </w:tcMar>
            <w:shd w:fill="F1F3F3"/>
          </w:tcPr>
          <w:p>
            <w:pPr>
              <w:keepLines/>
              <w:spacing w:after="0"/>
            </w:pPr>
            <w:r/>
            <w:r>
              <w:rPr>
                <w:rFonts w:ascii="Times New Roman" w:hAnsi="Times New Roman"/>
                <w:sz w:val="17"/>
              </w:rPr>
              <w:t>Auftragsausführung</w:t>
            </w:r>
          </w:p>
        </w:tc>
        <w:tc>
          <w:tcPr>
            <w:tcW w:type="dxa" w:w="3657"/>
            <w:vAlign w:val="top"/>
            <w:tcMar>
              <w:top w:w="60" w:type="dxa"/>
              <w:start w:w="90" w:type="dxa"/>
              <w:bottom w:w="60" w:type="dxa"/>
              <w:end w:w="90" w:type="dxa"/>
            </w:tcMar>
            <w:shd w:fill="F1F3F3"/>
          </w:tcPr>
          <w:p>
            <w:pPr>
              <w:keepLines/>
              <w:spacing w:after="0"/>
            </w:pPr>
            <w:r/>
            <w:r>
              <w:rPr>
                <w:rFonts w:ascii="Times New Roman" w:hAnsi="Times New Roman"/>
                <w:sz w:val="17"/>
              </w:rPr>
              <w:t>tatsächlich einzuhaltende Service Levels</w:t>
            </w:r>
          </w:p>
        </w:tc>
        <w:tc>
          <w:tcPr>
            <w:tcW w:type="dxa" w:w="3163"/>
            <w:vAlign w:val="top"/>
            <w:tcMar>
              <w:top w:w="60" w:type="dxa"/>
              <w:start w:w="90" w:type="dxa"/>
              <w:bottom w:w="60" w:type="dxa"/>
              <w:end w:w="90" w:type="dxa"/>
            </w:tcMar>
            <w:shd w:fill="F1F3F3"/>
          </w:tcPr>
          <w:p>
            <w:pPr>
              <w:keepLines/>
              <w:spacing w:after="0"/>
            </w:pPr>
            <w:r/>
            <w:r>
              <w:rPr>
                <w:rFonts w:ascii="Times New Roman" w:hAnsi="Times New Roman"/>
                <w:sz w:val="17"/>
              </w:rPr>
              <w:t>unverbindliche Zielbeschreibungen</w:t>
            </w:r>
          </w:p>
        </w:tc>
      </w:tr>
    </w:tbl>
    <w:p>
      <w:pPr>
        <w:spacing w:after="0" w:before="40"/>
      </w:pPr>
    </w:p>
    <w:p>
      <w:pPr>
        <w:keepNext/>
        <w:keepLines/>
      </w:pPr>
      <w:r>
        <w:t>Die Vergabestelle dokumentiert für jedes Feld, ob es Eignung, Auswahl, Zuschlag oder Vertragsvollzug betrifft. Derselbe Tatsachenaspekt darf nicht ohne eigenständigen Mehrwert mehrfach bewertet werden.</w:t>
      </w:r>
    </w:p>
    <w:p>
      <w:pPr>
        <w:pStyle w:val="Heading1"/>
        <w:keepNext/>
        <w:keepLines/>
      </w:pPr>
      <w:r>
        <w:t>3. Veröffentlichung und Fristen</w:t>
      </w:r>
    </w:p>
    <w:p>
      <w:pPr>
        <w:keepNext/>
        <w:keepLines/>
      </w:pPr>
      <w:r>
        <w:t>Die geänderte Bekanntmachung, Auswahlmatrix und Teilnahmeunterlage werden am 07.09.2026 gleichzeitig bereitgestellt. Die neue Teilnahmefrist endet am 28.09.2026, 12:00 Uhr. Bereits eingereichte Anträge können vollständig ersetzt oder ausdrücklich bestätigt werden; eine Bestätigung ist nur zulässig, wenn sämtliche neuen Erklärungen beigefügt sind.</w:t>
      </w:r>
    </w:p>
    <w:p>
      <w:pPr>
        <w:pStyle w:val="Heading1"/>
        <w:keepNext/>
        <w:keepLines/>
      </w:pPr>
      <w:r>
        <w:t>4. System- und Freigabekontrolle</w:t>
      </w:r>
    </w:p>
    <w:tbl>
      <w:tblPr>
        <w:tblStyle w:val="TableGrid"/>
        <w:tblW w:type="dxa" w:w="9071"/>
        <w:jc w:val="left"/>
        <w:tblLayout w:type="fixed"/>
        <w:tblLook w:firstColumn="1" w:firstRow="1" w:lastColumn="0" w:lastRow="0" w:noHBand="0" w:noVBand="1" w:val="04A0"/>
      </w:tblPr>
      <w:tblGrid>
        <w:gridCol w:w="2450"/>
        <w:gridCol w:w="3750"/>
        <w:gridCol w:w="2871"/>
      </w:tblGrid>
      <w:tr>
        <w:trPr>
          <w:tblHeader w:val="true"/>
          <w:cantSplit/>
        </w:trPr>
        <w:tc>
          <w:tcPr>
            <w:tcW w:type="dxa" w:w="24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Kontrolle</w:t>
            </w:r>
          </w:p>
        </w:tc>
        <w:tc>
          <w:tcPr>
            <w:tcW w:type="dxa" w:w="37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Sollzustand</w:t>
            </w:r>
          </w:p>
        </w:tc>
        <w:tc>
          <w:tcPr>
            <w:tcW w:type="dxa" w:w="287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Nachweis</w:t>
            </w:r>
          </w:p>
        </w:tc>
      </w:tr>
      <w:tr>
        <w:trPr>
          <w:cantSplit/>
        </w:trPr>
        <w:tc>
          <w:tcPr>
            <w:tcW w:type="dxa" w:w="2450"/>
            <w:vAlign w:val="top"/>
            <w:tcMar>
              <w:top w:w="60" w:type="dxa"/>
              <w:start w:w="90" w:type="dxa"/>
              <w:bottom w:w="60" w:type="dxa"/>
              <w:end w:w="90" w:type="dxa"/>
            </w:tcMar>
          </w:tcPr>
          <w:p>
            <w:pPr>
              <w:keepLines/>
              <w:spacing w:after="0"/>
            </w:pPr>
            <w:r/>
            <w:r>
              <w:rPr>
                <w:rFonts w:ascii="Times New Roman" w:hAnsi="Times New Roman"/>
                <w:sz w:val="17"/>
              </w:rPr>
              <w:t>Portalversion</w:t>
            </w:r>
          </w:p>
        </w:tc>
        <w:tc>
          <w:tcPr>
            <w:tcW w:type="dxa" w:w="3750"/>
            <w:vAlign w:val="top"/>
            <w:tcMar>
              <w:top w:w="60" w:type="dxa"/>
              <w:start w:w="90" w:type="dxa"/>
              <w:bottom w:w="60" w:type="dxa"/>
              <w:end w:w="90" w:type="dxa"/>
            </w:tcMar>
          </w:tcPr>
          <w:p>
            <w:pPr>
              <w:keepLines/>
              <w:spacing w:after="0"/>
            </w:pPr>
            <w:r/>
            <w:r>
              <w:rPr>
                <w:rFonts w:ascii="Times New Roman" w:hAnsi="Times New Roman"/>
                <w:sz w:val="17"/>
              </w:rPr>
              <w:t>alle Unternehmen sehen Version 05</w:t>
            </w:r>
          </w:p>
        </w:tc>
        <w:tc>
          <w:tcPr>
            <w:tcW w:type="dxa" w:w="2871"/>
            <w:vAlign w:val="top"/>
            <w:tcMar>
              <w:top w:w="60" w:type="dxa"/>
              <w:start w:w="90" w:type="dxa"/>
              <w:bottom w:w="60" w:type="dxa"/>
              <w:end w:w="90" w:type="dxa"/>
            </w:tcMar>
          </w:tcPr>
          <w:p>
            <w:pPr>
              <w:keepLines/>
              <w:spacing w:after="0"/>
            </w:pPr>
            <w:r/>
            <w:r>
              <w:rPr>
                <w:rFonts w:ascii="Times New Roman" w:hAnsi="Times New Roman"/>
                <w:sz w:val="17"/>
              </w:rPr>
              <w:t>Export und Screenshot</w:t>
            </w:r>
          </w:p>
        </w:tc>
      </w:tr>
      <w:tr>
        <w:trPr>
          <w:cantSplit/>
        </w:trPr>
        <w:tc>
          <w:tcPr>
            <w:tcW w:type="dxa" w:w="2450"/>
            <w:vAlign w:val="top"/>
            <w:tcMar>
              <w:top w:w="60" w:type="dxa"/>
              <w:start w:w="90" w:type="dxa"/>
              <w:bottom w:w="60" w:type="dxa"/>
              <w:end w:w="90" w:type="dxa"/>
            </w:tcMar>
            <w:shd w:fill="F1F3F3"/>
          </w:tcPr>
          <w:p>
            <w:pPr>
              <w:keepLines/>
              <w:spacing w:after="0"/>
            </w:pPr>
            <w:r/>
            <w:r>
              <w:rPr>
                <w:rFonts w:ascii="Times New Roman" w:hAnsi="Times New Roman"/>
                <w:sz w:val="17"/>
              </w:rPr>
              <w:t>Kriteriengewicht</w:t>
            </w:r>
          </w:p>
        </w:tc>
        <w:tc>
          <w:tcPr>
            <w:tcW w:type="dxa" w:w="3750"/>
            <w:vAlign w:val="top"/>
            <w:tcMar>
              <w:top w:w="60" w:type="dxa"/>
              <w:start w:w="90" w:type="dxa"/>
              <w:bottom w:w="60" w:type="dxa"/>
              <w:end w:w="90" w:type="dxa"/>
            </w:tcMar>
            <w:shd w:fill="F1F3F3"/>
          </w:tcPr>
          <w:p>
            <w:pPr>
              <w:keepLines/>
              <w:spacing w:after="0"/>
            </w:pPr>
            <w:r/>
            <w:r>
              <w:rPr>
                <w:rFonts w:ascii="Times New Roman" w:hAnsi="Times New Roman"/>
                <w:sz w:val="17"/>
              </w:rPr>
              <w:t>Summe exakt 100 Prozent</w:t>
            </w:r>
          </w:p>
        </w:tc>
        <w:tc>
          <w:tcPr>
            <w:tcW w:type="dxa" w:w="2871"/>
            <w:vAlign w:val="top"/>
            <w:tcMar>
              <w:top w:w="60" w:type="dxa"/>
              <w:start w:w="90" w:type="dxa"/>
              <w:bottom w:w="60" w:type="dxa"/>
              <w:end w:w="90" w:type="dxa"/>
            </w:tcMar>
            <w:shd w:fill="F1F3F3"/>
          </w:tcPr>
          <w:p>
            <w:pPr>
              <w:keepLines/>
              <w:spacing w:after="0"/>
            </w:pPr>
            <w:r/>
            <w:r>
              <w:rPr>
                <w:rFonts w:ascii="Times New Roman" w:hAnsi="Times New Roman"/>
                <w:sz w:val="17"/>
              </w:rPr>
              <w:t>Rechenblatt mit Zellschutz</w:t>
            </w:r>
          </w:p>
        </w:tc>
      </w:tr>
      <w:tr>
        <w:trPr>
          <w:cantSplit/>
        </w:trPr>
        <w:tc>
          <w:tcPr>
            <w:tcW w:type="dxa" w:w="2450"/>
            <w:vAlign w:val="top"/>
            <w:tcMar>
              <w:top w:w="60" w:type="dxa"/>
              <w:start w:w="90" w:type="dxa"/>
              <w:bottom w:w="60" w:type="dxa"/>
              <w:end w:w="90" w:type="dxa"/>
            </w:tcMar>
          </w:tcPr>
          <w:p>
            <w:pPr>
              <w:keepLines/>
              <w:spacing w:after="0"/>
            </w:pPr>
            <w:r/>
            <w:r>
              <w:rPr>
                <w:rFonts w:ascii="Times New Roman" w:hAnsi="Times New Roman"/>
                <w:sz w:val="17"/>
              </w:rPr>
              <w:t>Sitzbezug</w:t>
            </w:r>
          </w:p>
        </w:tc>
        <w:tc>
          <w:tcPr>
            <w:tcW w:type="dxa" w:w="3750"/>
            <w:vAlign w:val="top"/>
            <w:tcMar>
              <w:top w:w="60" w:type="dxa"/>
              <w:start w:w="90" w:type="dxa"/>
              <w:bottom w:w="60" w:type="dxa"/>
              <w:end w:w="90" w:type="dxa"/>
            </w:tcMar>
          </w:tcPr>
          <w:p>
            <w:pPr>
              <w:keepLines/>
              <w:spacing w:after="0"/>
            </w:pPr>
            <w:r/>
            <w:r>
              <w:rPr>
                <w:rFonts w:ascii="Times New Roman" w:hAnsi="Times New Roman"/>
                <w:sz w:val="17"/>
              </w:rPr>
              <w:t>keine Suchtreffer in Auswahl- oder Wertungsfeldern</w:t>
            </w:r>
          </w:p>
        </w:tc>
        <w:tc>
          <w:tcPr>
            <w:tcW w:type="dxa" w:w="2871"/>
            <w:vAlign w:val="top"/>
            <w:tcMar>
              <w:top w:w="60" w:type="dxa"/>
              <w:start w:w="90" w:type="dxa"/>
              <w:bottom w:w="60" w:type="dxa"/>
              <w:end w:w="90" w:type="dxa"/>
            </w:tcMar>
          </w:tcPr>
          <w:p>
            <w:pPr>
              <w:keepLines/>
              <w:spacing w:after="0"/>
            </w:pPr>
            <w:r/>
            <w:r>
              <w:rPr>
                <w:rFonts w:ascii="Times New Roman" w:hAnsi="Times New Roman"/>
                <w:sz w:val="17"/>
              </w:rPr>
              <w:t>dokumentierter Volltextcheck</w:t>
            </w:r>
          </w:p>
        </w:tc>
      </w:tr>
      <w:tr>
        <w:trPr>
          <w:cantSplit/>
        </w:trPr>
        <w:tc>
          <w:tcPr>
            <w:tcW w:type="dxa" w:w="2450"/>
            <w:vAlign w:val="top"/>
            <w:tcMar>
              <w:top w:w="60" w:type="dxa"/>
              <w:start w:w="90" w:type="dxa"/>
              <w:bottom w:w="60" w:type="dxa"/>
              <w:end w:w="90" w:type="dxa"/>
            </w:tcMar>
            <w:shd w:fill="F1F3F3"/>
          </w:tcPr>
          <w:p>
            <w:pPr>
              <w:keepLines/>
              <w:spacing w:after="0"/>
            </w:pPr>
            <w:r/>
            <w:r>
              <w:rPr>
                <w:rFonts w:ascii="Times New Roman" w:hAnsi="Times New Roman"/>
                <w:sz w:val="17"/>
              </w:rPr>
              <w:t>Frist</w:t>
            </w:r>
          </w:p>
        </w:tc>
        <w:tc>
          <w:tcPr>
            <w:tcW w:type="dxa" w:w="3750"/>
            <w:vAlign w:val="top"/>
            <w:tcMar>
              <w:top w:w="60" w:type="dxa"/>
              <w:start w:w="90" w:type="dxa"/>
              <w:bottom w:w="60" w:type="dxa"/>
              <w:end w:w="90" w:type="dxa"/>
            </w:tcMar>
            <w:shd w:fill="F1F3F3"/>
          </w:tcPr>
          <w:p>
            <w:pPr>
              <w:keepLines/>
              <w:spacing w:after="0"/>
            </w:pPr>
            <w:r/>
            <w:r>
              <w:rPr>
                <w:rFonts w:ascii="Times New Roman" w:hAnsi="Times New Roman"/>
                <w:sz w:val="17"/>
              </w:rPr>
              <w:t>mindestens 20 Kalendertage ab Bereitstellung</w:t>
            </w:r>
          </w:p>
        </w:tc>
        <w:tc>
          <w:tcPr>
            <w:tcW w:type="dxa" w:w="2871"/>
            <w:vAlign w:val="top"/>
            <w:tcMar>
              <w:top w:w="60" w:type="dxa"/>
              <w:start w:w="90" w:type="dxa"/>
              <w:bottom w:w="60" w:type="dxa"/>
              <w:end w:w="90" w:type="dxa"/>
            </w:tcMar>
            <w:shd w:fill="F1F3F3"/>
          </w:tcPr>
          <w:p>
            <w:pPr>
              <w:keepLines/>
              <w:spacing w:after="0"/>
            </w:pPr>
            <w:r/>
            <w:r>
              <w:rPr>
                <w:rFonts w:ascii="Times New Roman" w:hAnsi="Times New Roman"/>
                <w:sz w:val="17"/>
              </w:rPr>
              <w:t>Fristenblatt</w:t>
            </w:r>
          </w:p>
        </w:tc>
      </w:tr>
      <w:tr>
        <w:trPr>
          <w:cantSplit/>
        </w:trPr>
        <w:tc>
          <w:tcPr>
            <w:tcW w:type="dxa" w:w="2450"/>
            <w:vAlign w:val="top"/>
            <w:tcMar>
              <w:top w:w="60" w:type="dxa"/>
              <w:start w:w="90" w:type="dxa"/>
              <w:bottom w:w="60" w:type="dxa"/>
              <w:end w:w="90" w:type="dxa"/>
            </w:tcMar>
          </w:tcPr>
          <w:p>
            <w:pPr>
              <w:keepLines/>
              <w:spacing w:after="0"/>
            </w:pPr>
            <w:r/>
            <w:r>
              <w:rPr>
                <w:rFonts w:ascii="Times New Roman" w:hAnsi="Times New Roman"/>
                <w:sz w:val="17"/>
              </w:rPr>
              <w:t>Altstände</w:t>
            </w:r>
          </w:p>
        </w:tc>
        <w:tc>
          <w:tcPr>
            <w:tcW w:type="dxa" w:w="3750"/>
            <w:vAlign w:val="top"/>
            <w:tcMar>
              <w:top w:w="60" w:type="dxa"/>
              <w:start w:w="90" w:type="dxa"/>
              <w:bottom w:w="60" w:type="dxa"/>
              <w:end w:w="90" w:type="dxa"/>
            </w:tcMar>
          </w:tcPr>
          <w:p>
            <w:pPr>
              <w:keepLines/>
              <w:spacing w:after="0"/>
            </w:pPr>
            <w:r/>
            <w:r>
              <w:rPr>
                <w:rFonts w:ascii="Times New Roman" w:hAnsi="Times New Roman"/>
                <w:sz w:val="17"/>
              </w:rPr>
              <w:t>nur archiviert, nicht auswählbar</w:t>
            </w:r>
          </w:p>
        </w:tc>
        <w:tc>
          <w:tcPr>
            <w:tcW w:type="dxa" w:w="2871"/>
            <w:vAlign w:val="top"/>
            <w:tcMar>
              <w:top w:w="60" w:type="dxa"/>
              <w:start w:w="90" w:type="dxa"/>
              <w:bottom w:w="60" w:type="dxa"/>
              <w:end w:w="90" w:type="dxa"/>
            </w:tcMar>
          </w:tcPr>
          <w:p>
            <w:pPr>
              <w:keepLines/>
              <w:spacing w:after="0"/>
            </w:pPr>
            <w:r/>
            <w:r>
              <w:rPr>
                <w:rFonts w:ascii="Times New Roman" w:hAnsi="Times New Roman"/>
                <w:sz w:val="17"/>
              </w:rPr>
              <w:t>Rechteprotokoll</w:t>
            </w:r>
          </w:p>
        </w:tc>
      </w:tr>
    </w:tbl>
    <w:p>
      <w:pPr>
        <w:spacing w:after="0" w:before="40"/>
      </w:pPr>
    </w:p>
    <w:p>
      <w:pPr>
        <w:keepNext/>
        <w:keepLines/>
      </w:pPr>
      <w:r>
        <w:t>Die Projektleitung erhält keine Freigabe zur Auswahlentscheidung, bevor Rechtsamt und Innenrevision den Versions- und Kriterienabgleich gegengezeichnet haben.</w:t>
      </w:r>
    </w:p>
    <w:p>
      <w:pPr>
        <w:keepLines/>
      </w:pPr>
      <w:r>
        <w:t>Ministerium des Innern Musterland Zentrale Vergabestelle</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MID-STRAT-2026-07 / Verg 6/26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Ministerium des Innern Musterland - Zentrale Vergabestelle</w:t>
      <w:t xml:space="preserve">  |  MID-STRAT-2026-07 / Verg 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Umsetzung des gerichtlichen Vergleichs</dc:title>
  <dc:subject>Umsetzungs- und Verfahrensvermerk | Az. MID-STRAT-2026-07 / Verg 6/26</dc:subject>
  <dc:creator>Ministerium des Innern Musterland - Zentrale Vergabestelle</dc:creator>
  <cp:keywords>Vergaberecht, MID-STRAT-2026-07 / Verg 6/26, Umsetzungs- und Verfahrensvermerk</cp:keywords>
  <dc:description>generated by python-docx</dc:description>
  <cp:lastModifiedBy>Ministerium des Innern Musterland - Zentrale Vergabestelle</cp:lastModifiedBy>
  <cp:revision>1</cp:revision>
  <dcterms:created xsi:type="dcterms:W3CDTF">2000-01-01T00:00:00Z</dcterms:created>
  <dcterms:modified xsi:type="dcterms:W3CDTF">2000-01-01T00:00:00Z</dcterms:modified>
  <cp:category>Vergabeakte</cp:category>
</cp:coreProperties>
</file>