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Ministerium des Innern Musterland - Zentrale Vergabestelle</w:t>
            </w:r>
          </w:p>
          <w:p>
            <w:pPr>
              <w:spacing w:after="0"/>
            </w:pPr>
            <w:r>
              <w:rPr>
                <w:color w:val="646464"/>
                <w:sz w:val="18"/>
              </w:rPr>
              <w:t>Schlossgasse 1, 88888 Musterhausen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07.09.2026</w:t>
              <w:br/>
            </w:r>
            <w:r>
              <w:rPr>
                <w:rFonts w:ascii="Times New Roman" w:hAnsi="Times New Roman"/>
                <w:color w:val="646464"/>
                <w:sz w:val="18"/>
              </w:rPr>
              <w:t>Aktenzeichen: MID-STRAT-2026-07</w:t>
              <w:br/>
            </w:r>
            <w:r>
              <w:rPr>
                <w:rFonts w:ascii="Times New Roman" w:hAnsi="Times New Roman"/>
                <w:color w:val="646464"/>
                <w:sz w:val="18"/>
              </w:rPr>
              <w:t>Auswahl- und Wertungsmatrix</w:t>
            </w:r>
          </w:p>
        </w:tc>
      </w:tr>
    </w:tbl>
    <w:p>
      <w:pPr>
        <w:spacing w:before="200" w:after="40"/>
      </w:pPr>
      <w:r>
        <w:rPr>
          <w:rFonts w:ascii="Times New Roman" w:hAnsi="Times New Roman"/>
          <w:color w:val="646464"/>
          <w:sz w:val="15"/>
        </w:rPr>
        <w:t>Ministerium des Innern Musterland - Zentrale Vergabestelle · Schlossgasse 1, 88888 Musterhausen</w:t>
      </w:r>
    </w:p>
    <w:p>
      <w:pPr>
        <w:spacing w:after="240"/>
      </w:pPr>
      <w:r>
        <w:t>Vergabeakte und registrierte Bewerber</w:t>
      </w:r>
    </w:p>
    <w:p>
      <w:pPr>
        <w:pStyle w:val="Title"/>
      </w:pPr>
      <w:r>
        <w:t>Funktionale Reaktionsanforderungen ohne Standortbonus</w:t>
      </w:r>
    </w:p>
    <w:p>
      <w:pPr>
        <w:pStyle w:val="Heading1"/>
      </w:pPr>
      <w:r>
        <w:t>1. Eignungsmindestanforderungen</w:t>
      </w:r>
    </w:p>
    <w:tbl>
      <w:tblPr>
        <w:tblStyle w:val="TableGrid"/>
        <w:tblW w:type="dxa" w:w="9070"/>
        <w:jc w:val="left"/>
        <w:tblLayout w:type="fixed"/>
        <w:tblLook w:firstColumn="1" w:firstRow="1" w:lastColumn="0" w:lastRow="0" w:noHBand="0" w:noVBand="1" w:val="04A0"/>
      </w:tblPr>
      <w:tblGrid>
        <w:gridCol w:w="1507"/>
        <w:gridCol w:w="2633"/>
        <w:gridCol w:w="2452"/>
        <w:gridCol w:w="2478"/>
      </w:tblGrid>
      <w:tr>
        <w:trPr>
          <w:tblHeader w:val="true"/>
          <w:cantSplit/>
        </w:trPr>
        <w:tc>
          <w:tcPr>
            <w:tcW w:type="dxa" w:w="1507"/>
            <w:vAlign w:val="top"/>
            <w:tcMar>
              <w:top w:w="60" w:type="dxa"/>
              <w:start w:w="90" w:type="dxa"/>
              <w:bottom w:w="60" w:type="dxa"/>
              <w:end w:w="90" w:type="dxa"/>
            </w:tcMar>
            <w:shd w:fill="01696F"/>
          </w:tcPr>
          <w:p>
            <w:pPr>
              <w:keepLines/>
              <w:spacing w:after="0"/>
            </w:pPr>
            <w:r/>
            <w:r>
              <w:rPr>
                <w:rFonts w:ascii="Times New Roman" w:hAnsi="Times New Roman"/>
                <w:b/>
                <w:color w:val="FFFFFF"/>
                <w:sz w:val="17"/>
              </w:rPr>
              <w:t>Kennung</w:t>
            </w:r>
          </w:p>
        </w:tc>
        <w:tc>
          <w:tcPr>
            <w:tcW w:type="dxa" w:w="2633"/>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Anforderung</w:t>
            </w:r>
          </w:p>
        </w:tc>
        <w:tc>
          <w:tcPr>
            <w:tcW w:type="dxa" w:w="2452"/>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Nachweis</w:t>
            </w:r>
          </w:p>
        </w:tc>
        <w:tc>
          <w:tcPr>
            <w:tcW w:type="dxa" w:w="2478"/>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Prüfung</w:t>
            </w:r>
          </w:p>
        </w:tc>
      </w:tr>
      <w:tr>
        <w:trPr>
          <w:cantSplit/>
        </w:trPr>
        <w:tc>
          <w:tcPr>
            <w:tcW w:type="dxa" w:w="1507"/>
            <w:vAlign w:val="top"/>
            <w:tcMar>
              <w:top w:w="60" w:type="dxa"/>
              <w:start w:w="90" w:type="dxa"/>
              <w:bottom w:w="60" w:type="dxa"/>
              <w:end w:w="90" w:type="dxa"/>
            </w:tcMar>
          </w:tcPr>
          <w:p>
            <w:pPr>
              <w:keepLines/>
              <w:spacing w:after="0"/>
            </w:pPr>
            <w:r/>
            <w:r>
              <w:rPr>
                <w:rFonts w:ascii="Times New Roman" w:hAnsi="Times New Roman"/>
                <w:sz w:val="17"/>
              </w:rPr>
              <w:t>E-1</w:t>
            </w:r>
          </w:p>
        </w:tc>
        <w:tc>
          <w:tcPr>
            <w:tcW w:type="dxa" w:w="2633"/>
            <w:vAlign w:val="top"/>
            <w:tcMar>
              <w:top w:w="60" w:type="dxa"/>
              <w:start w:w="90" w:type="dxa"/>
              <w:bottom w:w="60" w:type="dxa"/>
              <w:end w:w="90" w:type="dxa"/>
            </w:tcMar>
          </w:tcPr>
          <w:p>
            <w:pPr>
              <w:keepLines/>
              <w:spacing w:after="0"/>
            </w:pPr>
            <w:r/>
            <w:r>
              <w:rPr>
                <w:rFonts w:ascii="Times New Roman" w:hAnsi="Times New Roman"/>
                <w:sz w:val="17"/>
              </w:rPr>
              <w:t>ständig erreichbare deutschsprachige Rufannahme</w:t>
            </w:r>
          </w:p>
        </w:tc>
        <w:tc>
          <w:tcPr>
            <w:tcW w:type="dxa" w:w="2452"/>
            <w:vAlign w:val="top"/>
            <w:tcMar>
              <w:top w:w="60" w:type="dxa"/>
              <w:start w:w="90" w:type="dxa"/>
              <w:bottom w:w="60" w:type="dxa"/>
              <w:end w:w="90" w:type="dxa"/>
            </w:tcMar>
          </w:tcPr>
          <w:p>
            <w:pPr>
              <w:keepLines/>
              <w:spacing w:after="0"/>
            </w:pPr>
            <w:r/>
            <w:r>
              <w:rPr>
                <w:rFonts w:ascii="Times New Roman" w:hAnsi="Times New Roman"/>
                <w:sz w:val="17"/>
              </w:rPr>
              <w:t>Organisationsbeschreibung</w:t>
            </w:r>
          </w:p>
        </w:tc>
        <w:tc>
          <w:tcPr>
            <w:tcW w:type="dxa" w:w="2478"/>
            <w:vAlign w:val="top"/>
            <w:tcMar>
              <w:top w:w="60" w:type="dxa"/>
              <w:start w:w="90" w:type="dxa"/>
              <w:bottom w:w="60" w:type="dxa"/>
              <w:end w:w="90" w:type="dxa"/>
            </w:tcMar>
          </w:tcPr>
          <w:p>
            <w:pPr>
              <w:keepLines/>
              <w:spacing w:after="0"/>
            </w:pPr>
            <w:r/>
            <w:r>
              <w:rPr>
                <w:rFonts w:ascii="Times New Roman" w:hAnsi="Times New Roman"/>
                <w:sz w:val="17"/>
              </w:rPr>
              <w:t>erfüllt oder nicht erfüllt</w:t>
            </w:r>
          </w:p>
        </w:tc>
      </w:tr>
      <w:tr>
        <w:trPr>
          <w:cantSplit/>
        </w:trPr>
        <w:tc>
          <w:tcPr>
            <w:tcW w:type="dxa" w:w="1507"/>
            <w:vAlign w:val="top"/>
            <w:tcMar>
              <w:top w:w="60" w:type="dxa"/>
              <w:start w:w="90" w:type="dxa"/>
              <w:bottom w:w="60" w:type="dxa"/>
              <w:end w:w="90" w:type="dxa"/>
            </w:tcMar>
            <w:shd w:fill="F1F3F3"/>
          </w:tcPr>
          <w:p>
            <w:pPr>
              <w:keepLines/>
              <w:spacing w:after="0"/>
            </w:pPr>
            <w:r/>
            <w:r>
              <w:rPr>
                <w:rFonts w:ascii="Times New Roman" w:hAnsi="Times New Roman"/>
                <w:sz w:val="17"/>
              </w:rPr>
              <w:t>E-2</w:t>
            </w:r>
          </w:p>
        </w:tc>
        <w:tc>
          <w:tcPr>
            <w:tcW w:type="dxa" w:w="2633"/>
            <w:vAlign w:val="top"/>
            <w:tcMar>
              <w:top w:w="60" w:type="dxa"/>
              <w:start w:w="90" w:type="dxa"/>
              <w:bottom w:w="60" w:type="dxa"/>
              <w:end w:w="90" w:type="dxa"/>
            </w:tcMar>
            <w:shd w:fill="F1F3F3"/>
          </w:tcPr>
          <w:p>
            <w:pPr>
              <w:keepLines/>
              <w:spacing w:after="0"/>
            </w:pPr>
            <w:r/>
            <w:r>
              <w:rPr>
                <w:rFonts w:ascii="Times New Roman" w:hAnsi="Times New Roman"/>
                <w:sz w:val="17"/>
              </w:rPr>
              <w:t>mindestens zwei benannte Incident Leads und zwei Vertretungen</w:t>
            </w:r>
          </w:p>
        </w:tc>
        <w:tc>
          <w:tcPr>
            <w:tcW w:type="dxa" w:w="2452"/>
            <w:vAlign w:val="top"/>
            <w:tcMar>
              <w:top w:w="60" w:type="dxa"/>
              <w:start w:w="90" w:type="dxa"/>
              <w:bottom w:w="60" w:type="dxa"/>
              <w:end w:w="90" w:type="dxa"/>
            </w:tcMar>
            <w:shd w:fill="F1F3F3"/>
          </w:tcPr>
          <w:p>
            <w:pPr>
              <w:keepLines/>
              <w:spacing w:after="0"/>
            </w:pPr>
            <w:r/>
            <w:r>
              <w:rPr>
                <w:rFonts w:ascii="Times New Roman" w:hAnsi="Times New Roman"/>
                <w:sz w:val="17"/>
              </w:rPr>
              <w:t>Lebensläufe und Verfügbarkeitserklärung</w:t>
            </w:r>
          </w:p>
        </w:tc>
        <w:tc>
          <w:tcPr>
            <w:tcW w:type="dxa" w:w="2478"/>
            <w:vAlign w:val="top"/>
            <w:tcMar>
              <w:top w:w="60" w:type="dxa"/>
              <w:start w:w="90" w:type="dxa"/>
              <w:bottom w:w="60" w:type="dxa"/>
              <w:end w:w="90" w:type="dxa"/>
            </w:tcMar>
            <w:shd w:fill="F1F3F3"/>
          </w:tcPr>
          <w:p>
            <w:pPr>
              <w:keepLines/>
              <w:spacing w:after="0"/>
            </w:pPr>
            <w:r/>
            <w:r>
              <w:rPr>
                <w:rFonts w:ascii="Times New Roman" w:hAnsi="Times New Roman"/>
                <w:sz w:val="17"/>
              </w:rPr>
              <w:t>erfüllt oder nicht erfüllt</w:t>
            </w:r>
          </w:p>
        </w:tc>
      </w:tr>
      <w:tr>
        <w:trPr>
          <w:cantSplit/>
        </w:trPr>
        <w:tc>
          <w:tcPr>
            <w:tcW w:type="dxa" w:w="1507"/>
            <w:vAlign w:val="top"/>
            <w:tcMar>
              <w:top w:w="60" w:type="dxa"/>
              <w:start w:w="90" w:type="dxa"/>
              <w:bottom w:w="60" w:type="dxa"/>
              <w:end w:w="90" w:type="dxa"/>
            </w:tcMar>
          </w:tcPr>
          <w:p>
            <w:pPr>
              <w:keepLines/>
              <w:spacing w:after="0"/>
            </w:pPr>
            <w:r/>
            <w:r>
              <w:rPr>
                <w:rFonts w:ascii="Times New Roman" w:hAnsi="Times New Roman"/>
                <w:sz w:val="17"/>
              </w:rPr>
              <w:t>E-3</w:t>
            </w:r>
          </w:p>
        </w:tc>
        <w:tc>
          <w:tcPr>
            <w:tcW w:type="dxa" w:w="2633"/>
            <w:vAlign w:val="top"/>
            <w:tcMar>
              <w:top w:w="60" w:type="dxa"/>
              <w:start w:w="90" w:type="dxa"/>
              <w:bottom w:w="60" w:type="dxa"/>
              <w:end w:w="90" w:type="dxa"/>
            </w:tcMar>
          </w:tcPr>
          <w:p>
            <w:pPr>
              <w:keepLines/>
              <w:spacing w:after="0"/>
            </w:pPr>
            <w:r/>
            <w:r>
              <w:rPr>
                <w:rFonts w:ascii="Times New Roman" w:hAnsi="Times New Roman"/>
                <w:sz w:val="17"/>
              </w:rPr>
              <w:t>zwei Referenzen mit Sicherheitsvorfall und Vor-Ort-Koordination</w:t>
            </w:r>
          </w:p>
        </w:tc>
        <w:tc>
          <w:tcPr>
            <w:tcW w:type="dxa" w:w="2452"/>
            <w:vAlign w:val="top"/>
            <w:tcMar>
              <w:top w:w="60" w:type="dxa"/>
              <w:start w:w="90" w:type="dxa"/>
              <w:bottom w:w="60" w:type="dxa"/>
              <w:end w:w="90" w:type="dxa"/>
            </w:tcMar>
          </w:tcPr>
          <w:p>
            <w:pPr>
              <w:keepLines/>
              <w:spacing w:after="0"/>
            </w:pPr>
            <w:r/>
            <w:r>
              <w:rPr>
                <w:rFonts w:ascii="Times New Roman" w:hAnsi="Times New Roman"/>
                <w:sz w:val="17"/>
              </w:rPr>
              <w:t>Referenzblatt mit Ansprechpartner</w:t>
            </w:r>
          </w:p>
        </w:tc>
        <w:tc>
          <w:tcPr>
            <w:tcW w:type="dxa" w:w="2478"/>
            <w:vAlign w:val="top"/>
            <w:tcMar>
              <w:top w:w="60" w:type="dxa"/>
              <w:start w:w="90" w:type="dxa"/>
              <w:bottom w:w="60" w:type="dxa"/>
              <w:end w:w="90" w:type="dxa"/>
            </w:tcMar>
          </w:tcPr>
          <w:p>
            <w:pPr>
              <w:keepLines/>
              <w:spacing w:after="0"/>
            </w:pPr>
            <w:r/>
            <w:r>
              <w:rPr>
                <w:rFonts w:ascii="Times New Roman" w:hAnsi="Times New Roman"/>
                <w:sz w:val="17"/>
              </w:rPr>
              <w:t>Vergleichbarkeit nach Inhalt, Umfang und Komplexität</w:t>
            </w:r>
          </w:p>
        </w:tc>
      </w:tr>
      <w:tr>
        <w:trPr>
          <w:cantSplit/>
        </w:trPr>
        <w:tc>
          <w:tcPr>
            <w:tcW w:type="dxa" w:w="1507"/>
            <w:vAlign w:val="top"/>
            <w:tcMar>
              <w:top w:w="60" w:type="dxa"/>
              <w:start w:w="90" w:type="dxa"/>
              <w:bottom w:w="60" w:type="dxa"/>
              <w:end w:w="90" w:type="dxa"/>
            </w:tcMar>
            <w:shd w:fill="F1F3F3"/>
          </w:tcPr>
          <w:p>
            <w:pPr>
              <w:keepLines/>
              <w:spacing w:after="0"/>
            </w:pPr>
            <w:r/>
            <w:r>
              <w:rPr>
                <w:rFonts w:ascii="Times New Roman" w:hAnsi="Times New Roman"/>
                <w:sz w:val="17"/>
              </w:rPr>
              <w:t>E-4</w:t>
            </w:r>
          </w:p>
        </w:tc>
        <w:tc>
          <w:tcPr>
            <w:tcW w:type="dxa" w:w="2633"/>
            <w:vAlign w:val="top"/>
            <w:tcMar>
              <w:top w:w="60" w:type="dxa"/>
              <w:start w:w="90" w:type="dxa"/>
              <w:bottom w:w="60" w:type="dxa"/>
              <w:end w:w="90" w:type="dxa"/>
            </w:tcMar>
            <w:shd w:fill="F1F3F3"/>
          </w:tcPr>
          <w:p>
            <w:pPr>
              <w:keepLines/>
              <w:spacing w:after="0"/>
            </w:pPr>
            <w:r/>
            <w:r>
              <w:rPr>
                <w:rFonts w:ascii="Times New Roman" w:hAnsi="Times New Roman"/>
                <w:sz w:val="17"/>
              </w:rPr>
              <w:t>belastbarer Mobilisierungsprozess für das Ministerium</w:t>
            </w:r>
          </w:p>
        </w:tc>
        <w:tc>
          <w:tcPr>
            <w:tcW w:type="dxa" w:w="2452"/>
            <w:vAlign w:val="top"/>
            <w:tcMar>
              <w:top w:w="60" w:type="dxa"/>
              <w:start w:w="90" w:type="dxa"/>
              <w:bottom w:w="60" w:type="dxa"/>
              <w:end w:w="90" w:type="dxa"/>
            </w:tcMar>
            <w:shd w:fill="F1F3F3"/>
          </w:tcPr>
          <w:p>
            <w:pPr>
              <w:keepLines/>
              <w:spacing w:after="0"/>
            </w:pPr>
            <w:r/>
            <w:r>
              <w:rPr>
                <w:rFonts w:ascii="Times New Roman" w:hAnsi="Times New Roman"/>
                <w:sz w:val="17"/>
              </w:rPr>
              <w:t>Ablaufplan ohne Standortvorgabe</w:t>
            </w:r>
          </w:p>
        </w:tc>
        <w:tc>
          <w:tcPr>
            <w:tcW w:type="dxa" w:w="2478"/>
            <w:vAlign w:val="top"/>
            <w:tcMar>
              <w:top w:w="60" w:type="dxa"/>
              <w:start w:w="90" w:type="dxa"/>
              <w:bottom w:w="60" w:type="dxa"/>
              <w:end w:w="90" w:type="dxa"/>
            </w:tcMar>
            <w:shd w:fill="F1F3F3"/>
          </w:tcPr>
          <w:p>
            <w:pPr>
              <w:keepLines/>
              <w:spacing w:after="0"/>
            </w:pPr>
            <w:r/>
            <w:r>
              <w:rPr>
                <w:rFonts w:ascii="Times New Roman" w:hAnsi="Times New Roman"/>
                <w:sz w:val="17"/>
              </w:rPr>
              <w:t>Plausibilitätsprüfung</w:t>
            </w:r>
          </w:p>
        </w:tc>
      </w:tr>
    </w:tbl>
    <w:p>
      <w:pPr>
        <w:spacing w:after="0" w:before="40"/>
      </w:pPr>
    </w:p>
    <w:p>
      <w:r>
        <w:t>Ein bestehender Unternehmens-, Wohn- oder Niederlassungssitz im Umkreis des Ministeriums ist weder Mindestanforderung noch Nachweisersatz.</w:t>
      </w:r>
    </w:p>
    <w:p>
      <w:pPr>
        <w:pStyle w:val="Heading1"/>
      </w:pPr>
      <w:r>
        <w:t>2. Auswahl bei mehr als fünf geeigneten Bewerbern</w:t>
      </w:r>
    </w:p>
    <w:tbl>
      <w:tblPr>
        <w:tblStyle w:val="TableGrid"/>
        <w:tblW w:type="dxa" w:w="9072"/>
        <w:jc w:val="left"/>
        <w:tblLayout w:type="fixed"/>
        <w:tblLook w:firstColumn="1" w:firstRow="1" w:lastColumn="0" w:lastRow="0" w:noHBand="0" w:noVBand="1" w:val="04A0"/>
      </w:tblPr>
      <w:tblGrid>
        <w:gridCol w:w="2466"/>
        <w:gridCol w:w="1624"/>
        <w:gridCol w:w="2613"/>
        <w:gridCol w:w="2369"/>
      </w:tblGrid>
      <w:tr>
        <w:trPr>
          <w:tblHeader w:val="true"/>
          <w:cantSplit/>
        </w:trPr>
        <w:tc>
          <w:tcPr>
            <w:tcW w:type="dxa" w:w="2466"/>
            <w:vAlign w:val="top"/>
            <w:tcMar>
              <w:top w:w="60" w:type="dxa"/>
              <w:start w:w="90" w:type="dxa"/>
              <w:bottom w:w="60" w:type="dxa"/>
              <w:end w:w="90" w:type="dxa"/>
            </w:tcMar>
            <w:shd w:fill="01696F"/>
          </w:tcPr>
          <w:p>
            <w:pPr>
              <w:keepLines/>
              <w:spacing w:after="0"/>
            </w:pPr>
            <w:r/>
            <w:r>
              <w:rPr>
                <w:rFonts w:ascii="Times New Roman" w:hAnsi="Times New Roman"/>
                <w:b/>
                <w:color w:val="FFFFFF"/>
                <w:sz w:val="17"/>
              </w:rPr>
              <w:t>Auswahlkriterium</w:t>
            </w:r>
          </w:p>
        </w:tc>
        <w:tc>
          <w:tcPr>
            <w:tcW w:type="dxa" w:w="16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Gewicht</w:t>
            </w:r>
          </w:p>
        </w:tc>
        <w:tc>
          <w:tcPr>
            <w:tcW w:type="dxa" w:w="2613"/>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Bewertungsgegenstand</w:t>
            </w:r>
          </w:p>
        </w:tc>
        <w:tc>
          <w:tcPr>
            <w:tcW w:type="dxa" w:w="2369"/>
            <w:vAlign w:val="top"/>
            <w:tcMar>
              <w:top w:w="60" w:type="dxa"/>
              <w:start w:w="90" w:type="dxa"/>
              <w:bottom w:w="60" w:type="dxa"/>
              <w:end w:w="90" w:type="dxa"/>
            </w:tcMar>
            <w:shd w:fill="01696F"/>
          </w:tcPr>
          <w:p>
            <w:pPr>
              <w:keepLines/>
              <w:spacing w:after="0"/>
            </w:pPr>
            <w:r/>
            <w:r>
              <w:rPr>
                <w:rFonts w:ascii="Times New Roman" w:hAnsi="Times New Roman"/>
                <w:b/>
                <w:color w:val="FFFFFF"/>
                <w:sz w:val="17"/>
              </w:rPr>
              <w:t>Punkteanker</w:t>
            </w:r>
          </w:p>
        </w:tc>
      </w:tr>
      <w:tr>
        <w:trPr>
          <w:cantSplit/>
        </w:trPr>
        <w:tc>
          <w:tcPr>
            <w:tcW w:type="dxa" w:w="2466"/>
            <w:vAlign w:val="top"/>
            <w:tcMar>
              <w:top w:w="60" w:type="dxa"/>
              <w:start w:w="90" w:type="dxa"/>
              <w:bottom w:w="60" w:type="dxa"/>
              <w:end w:w="90" w:type="dxa"/>
            </w:tcMar>
          </w:tcPr>
          <w:p>
            <w:pPr>
              <w:keepLines/>
              <w:spacing w:after="0"/>
            </w:pPr>
            <w:r/>
            <w:r>
              <w:rPr>
                <w:rFonts w:ascii="Times New Roman" w:hAnsi="Times New Roman"/>
                <w:sz w:val="17"/>
              </w:rPr>
              <w:t>Krisenerfahrung des vorgesehenen Teams</w:t>
            </w:r>
          </w:p>
        </w:tc>
        <w:tc>
          <w:tcPr>
            <w:tcW w:type="dxa" w:w="1624"/>
            <w:vAlign w:val="top"/>
            <w:tcMar>
              <w:top w:w="60" w:type="dxa"/>
              <w:start w:w="90" w:type="dxa"/>
              <w:bottom w:w="60" w:type="dxa"/>
              <w:end w:w="90" w:type="dxa"/>
            </w:tcMar>
          </w:tcPr>
          <w:p>
            <w:pPr>
              <w:keepLines/>
              <w:spacing w:after="0"/>
            </w:pPr>
            <w:r/>
            <w:r>
              <w:rPr>
                <w:rFonts w:ascii="Times New Roman" w:hAnsi="Times New Roman"/>
                <w:sz w:val="17"/>
              </w:rPr>
              <w:t>45 Prozent</w:t>
            </w:r>
          </w:p>
        </w:tc>
        <w:tc>
          <w:tcPr>
            <w:tcW w:type="dxa" w:w="2613"/>
            <w:vAlign w:val="top"/>
            <w:tcMar>
              <w:top w:w="60" w:type="dxa"/>
              <w:start w:w="90" w:type="dxa"/>
              <w:bottom w:w="60" w:type="dxa"/>
              <w:end w:w="90" w:type="dxa"/>
            </w:tcMar>
          </w:tcPr>
          <w:p>
            <w:pPr>
              <w:keepLines/>
              <w:spacing w:after="0"/>
            </w:pPr>
            <w:r/>
            <w:r>
              <w:rPr>
                <w:rFonts w:ascii="Times New Roman" w:hAnsi="Times New Roman"/>
                <w:sz w:val="17"/>
              </w:rPr>
              <w:t>nachgewiesene Rollen in vergleichbaren Vorfällen</w:t>
            </w:r>
          </w:p>
        </w:tc>
        <w:tc>
          <w:tcPr>
            <w:tcW w:type="dxa" w:w="2369"/>
            <w:vAlign w:val="top"/>
            <w:tcMar>
              <w:top w:w="60" w:type="dxa"/>
              <w:start w:w="90" w:type="dxa"/>
              <w:bottom w:w="60" w:type="dxa"/>
              <w:end w:w="90" w:type="dxa"/>
            </w:tcMar>
          </w:tcPr>
          <w:p>
            <w:pPr>
              <w:keepLines/>
              <w:spacing w:after="0"/>
            </w:pPr>
            <w:r/>
            <w:r>
              <w:rPr>
                <w:rFonts w:ascii="Times New Roman" w:hAnsi="Times New Roman"/>
                <w:sz w:val="17"/>
              </w:rPr>
              <w:t>0 bis 5 nach dokumentierter Vergleichbarkeit</w:t>
            </w:r>
          </w:p>
        </w:tc>
      </w:tr>
      <w:tr>
        <w:trPr>
          <w:cantSplit/>
        </w:trPr>
        <w:tc>
          <w:tcPr>
            <w:tcW w:type="dxa" w:w="2466"/>
            <w:vAlign w:val="top"/>
            <w:tcMar>
              <w:top w:w="60" w:type="dxa"/>
              <w:start w:w="90" w:type="dxa"/>
              <w:bottom w:w="60" w:type="dxa"/>
              <w:end w:w="90" w:type="dxa"/>
            </w:tcMar>
            <w:shd w:fill="F1F3F3"/>
          </w:tcPr>
          <w:p>
            <w:pPr>
              <w:keepLines/>
              <w:spacing w:after="0"/>
            </w:pPr>
            <w:r/>
            <w:r>
              <w:rPr>
                <w:rFonts w:ascii="Times New Roman" w:hAnsi="Times New Roman"/>
                <w:sz w:val="17"/>
              </w:rPr>
              <w:t>Vertretungs- und Skalierungsfähigkeit</w:t>
            </w:r>
          </w:p>
        </w:tc>
        <w:tc>
          <w:tcPr>
            <w:tcW w:type="dxa" w:w="1624"/>
            <w:vAlign w:val="top"/>
            <w:tcMar>
              <w:top w:w="60" w:type="dxa"/>
              <w:start w:w="90" w:type="dxa"/>
              <w:bottom w:w="60" w:type="dxa"/>
              <w:end w:w="90" w:type="dxa"/>
            </w:tcMar>
            <w:shd w:fill="F1F3F3"/>
          </w:tcPr>
          <w:p>
            <w:pPr>
              <w:keepLines/>
              <w:spacing w:after="0"/>
            </w:pPr>
            <w:r/>
            <w:r>
              <w:rPr>
                <w:rFonts w:ascii="Times New Roman" w:hAnsi="Times New Roman"/>
                <w:sz w:val="17"/>
              </w:rPr>
              <w:t>30 Prozent</w:t>
            </w:r>
          </w:p>
        </w:tc>
        <w:tc>
          <w:tcPr>
            <w:tcW w:type="dxa" w:w="2613"/>
            <w:vAlign w:val="top"/>
            <w:tcMar>
              <w:top w:w="60" w:type="dxa"/>
              <w:start w:w="90" w:type="dxa"/>
              <w:bottom w:w="60" w:type="dxa"/>
              <w:end w:w="90" w:type="dxa"/>
            </w:tcMar>
            <w:shd w:fill="F1F3F3"/>
          </w:tcPr>
          <w:p>
            <w:pPr>
              <w:keepLines/>
              <w:spacing w:after="0"/>
            </w:pPr>
            <w:r/>
            <w:r>
              <w:rPr>
                <w:rFonts w:ascii="Times New Roman" w:hAnsi="Times New Roman"/>
                <w:sz w:val="17"/>
              </w:rPr>
              <w:t>personelle Reserve für parallele Ereignisse</w:t>
            </w:r>
          </w:p>
        </w:tc>
        <w:tc>
          <w:tcPr>
            <w:tcW w:type="dxa" w:w="2369"/>
            <w:vAlign w:val="top"/>
            <w:tcMar>
              <w:top w:w="60" w:type="dxa"/>
              <w:start w:w="90" w:type="dxa"/>
              <w:bottom w:w="60" w:type="dxa"/>
              <w:end w:w="90" w:type="dxa"/>
            </w:tcMar>
            <w:shd w:fill="F1F3F3"/>
          </w:tcPr>
          <w:p>
            <w:pPr>
              <w:keepLines/>
              <w:spacing w:after="0"/>
            </w:pPr>
            <w:r/>
            <w:r>
              <w:rPr>
                <w:rFonts w:ascii="Times New Roman" w:hAnsi="Times New Roman"/>
                <w:sz w:val="17"/>
              </w:rPr>
              <w:t>0 bis 5 nach benannten Ressourcen</w:t>
            </w:r>
          </w:p>
        </w:tc>
      </w:tr>
      <w:tr>
        <w:trPr>
          <w:cantSplit/>
        </w:trPr>
        <w:tc>
          <w:tcPr>
            <w:tcW w:type="dxa" w:w="2466"/>
            <w:vAlign w:val="top"/>
            <w:tcMar>
              <w:top w:w="60" w:type="dxa"/>
              <w:start w:w="90" w:type="dxa"/>
              <w:bottom w:w="60" w:type="dxa"/>
              <w:end w:w="90" w:type="dxa"/>
            </w:tcMar>
          </w:tcPr>
          <w:p>
            <w:pPr>
              <w:keepLines/>
              <w:spacing w:after="0"/>
            </w:pPr>
            <w:r/>
            <w:r>
              <w:rPr>
                <w:rFonts w:ascii="Times New Roman" w:hAnsi="Times New Roman"/>
                <w:sz w:val="17"/>
              </w:rPr>
              <w:t>Qualität der Referenzbestätigungen</w:t>
            </w:r>
          </w:p>
        </w:tc>
        <w:tc>
          <w:tcPr>
            <w:tcW w:type="dxa" w:w="1624"/>
            <w:vAlign w:val="top"/>
            <w:tcMar>
              <w:top w:w="60" w:type="dxa"/>
              <w:start w:w="90" w:type="dxa"/>
              <w:bottom w:w="60" w:type="dxa"/>
              <w:end w:w="90" w:type="dxa"/>
            </w:tcMar>
          </w:tcPr>
          <w:p>
            <w:pPr>
              <w:keepLines/>
              <w:spacing w:after="0"/>
            </w:pPr>
            <w:r/>
            <w:r>
              <w:rPr>
                <w:rFonts w:ascii="Times New Roman" w:hAnsi="Times New Roman"/>
                <w:sz w:val="17"/>
              </w:rPr>
              <w:t>25 Prozent</w:t>
            </w:r>
          </w:p>
        </w:tc>
        <w:tc>
          <w:tcPr>
            <w:tcW w:type="dxa" w:w="2613"/>
            <w:vAlign w:val="top"/>
            <w:tcMar>
              <w:top w:w="60" w:type="dxa"/>
              <w:start w:w="90" w:type="dxa"/>
              <w:bottom w:w="60" w:type="dxa"/>
              <w:end w:w="90" w:type="dxa"/>
            </w:tcMar>
          </w:tcPr>
          <w:p>
            <w:pPr>
              <w:keepLines/>
              <w:spacing w:after="0"/>
            </w:pPr>
            <w:r/>
            <w:r>
              <w:rPr>
                <w:rFonts w:ascii="Times New Roman" w:hAnsi="Times New Roman"/>
                <w:sz w:val="17"/>
              </w:rPr>
              <w:t>belastbare Angaben zu Leistung und Ergebnis</w:t>
            </w:r>
          </w:p>
        </w:tc>
        <w:tc>
          <w:tcPr>
            <w:tcW w:type="dxa" w:w="2369"/>
            <w:vAlign w:val="top"/>
            <w:tcMar>
              <w:top w:w="60" w:type="dxa"/>
              <w:start w:w="90" w:type="dxa"/>
              <w:bottom w:w="60" w:type="dxa"/>
              <w:end w:w="90" w:type="dxa"/>
            </w:tcMar>
          </w:tcPr>
          <w:p>
            <w:pPr>
              <w:keepLines/>
              <w:spacing w:after="0"/>
            </w:pPr>
            <w:r/>
            <w:r>
              <w:rPr>
                <w:rFonts w:ascii="Times New Roman" w:hAnsi="Times New Roman"/>
                <w:sz w:val="17"/>
              </w:rPr>
              <w:t>0 bis 5 nach Nachweistiefe</w:t>
            </w:r>
          </w:p>
        </w:tc>
      </w:tr>
    </w:tbl>
    <w:p>
      <w:pPr>
        <w:spacing w:after="0" w:before="40"/>
      </w:pPr>
    </w:p>
    <w:p>
      <w:r>
        <w:t>Bewertet wird die nachgewiesene berufliche Leistungsfähigkeit, nicht das spätere Lösungskonzept für den konkreten Auftrag.</w:t>
      </w:r>
    </w:p>
    <w:p>
      <w:pPr>
        <w:pStyle w:val="Heading1"/>
      </w:pPr>
      <w:r>
        <w:t>3. Zuschlagskriterium in der Angebotsphase</w:t>
      </w:r>
    </w:p>
    <w:tbl>
      <w:tblPr>
        <w:tblStyle w:val="TableGrid"/>
        <w:tblW w:type="dxa" w:w="9071"/>
        <w:jc w:val="left"/>
        <w:tblLayout w:type="fixed"/>
        <w:tblLook w:firstColumn="1" w:firstRow="1" w:lastColumn="0" w:lastRow="0" w:noHBand="0" w:noVBand="1" w:val="04A0"/>
      </w:tblPr>
      <w:tblGrid>
        <w:gridCol w:w="2216"/>
        <w:gridCol w:w="1947"/>
        <w:gridCol w:w="2580"/>
        <w:gridCol w:w="2328"/>
      </w:tblGrid>
      <w:tr>
        <w:trPr>
          <w:tblHeader w:val="true"/>
          <w:cantSplit/>
        </w:trPr>
        <w:tc>
          <w:tcPr>
            <w:tcW w:type="dxa" w:w="2216"/>
            <w:vAlign w:val="top"/>
            <w:tcMar>
              <w:top w:w="60" w:type="dxa"/>
              <w:start w:w="90" w:type="dxa"/>
              <w:bottom w:w="60" w:type="dxa"/>
              <w:end w:w="90" w:type="dxa"/>
            </w:tcMar>
            <w:shd w:fill="01696F"/>
          </w:tcPr>
          <w:p>
            <w:pPr>
              <w:keepLines/>
              <w:spacing w:after="0"/>
            </w:pPr>
            <w:r/>
            <w:r>
              <w:rPr>
                <w:rFonts w:ascii="Times New Roman" w:hAnsi="Times New Roman"/>
                <w:b/>
                <w:color w:val="FFFFFF"/>
                <w:sz w:val="17"/>
              </w:rPr>
              <w:t>Unterkriterium</w:t>
            </w:r>
          </w:p>
        </w:tc>
        <w:tc>
          <w:tcPr>
            <w:tcW w:type="dxa" w:w="1947"/>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Anteil am Gesamtzuschlag</w:t>
            </w:r>
          </w:p>
        </w:tc>
        <w:tc>
          <w:tcPr>
            <w:tcW w:type="dxa" w:w="25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verbindlicher Angebotsinhalt</w:t>
            </w:r>
          </w:p>
        </w:tc>
        <w:tc>
          <w:tcPr>
            <w:tcW w:type="dxa" w:w="2328"/>
            <w:vAlign w:val="top"/>
            <w:tcMar>
              <w:top w:w="60" w:type="dxa"/>
              <w:start w:w="90" w:type="dxa"/>
              <w:bottom w:w="60" w:type="dxa"/>
              <w:end w:w="90" w:type="dxa"/>
            </w:tcMar>
            <w:shd w:fill="01696F"/>
          </w:tcPr>
          <w:p>
            <w:pPr>
              <w:keepLines/>
              <w:spacing w:after="0"/>
            </w:pPr>
            <w:r/>
            <w:r>
              <w:rPr>
                <w:rFonts w:ascii="Times New Roman" w:hAnsi="Times New Roman"/>
                <w:b/>
                <w:color w:val="FFFFFF"/>
                <w:sz w:val="17"/>
              </w:rPr>
              <w:t>Abgrenzung zur Auswahl</w:t>
            </w:r>
          </w:p>
        </w:tc>
      </w:tr>
      <w:tr>
        <w:trPr>
          <w:cantSplit/>
        </w:trPr>
        <w:tc>
          <w:tcPr>
            <w:tcW w:type="dxa" w:w="2216"/>
            <w:vAlign w:val="top"/>
            <w:tcMar>
              <w:top w:w="60" w:type="dxa"/>
              <w:start w:w="90" w:type="dxa"/>
              <w:bottom w:w="60" w:type="dxa"/>
              <w:end w:w="90" w:type="dxa"/>
            </w:tcMar>
          </w:tcPr>
          <w:p>
            <w:pPr>
              <w:keepLines/>
              <w:spacing w:after="0"/>
            </w:pPr>
            <w:r/>
            <w:r>
              <w:rPr>
                <w:rFonts w:ascii="Times New Roman" w:hAnsi="Times New Roman"/>
                <w:sz w:val="17"/>
              </w:rPr>
              <w:t>Erstreaktion R1 bis R4</w:t>
            </w:r>
          </w:p>
        </w:tc>
        <w:tc>
          <w:tcPr>
            <w:tcW w:type="dxa" w:w="1947"/>
            <w:vAlign w:val="top"/>
            <w:tcMar>
              <w:top w:w="60" w:type="dxa"/>
              <w:start w:w="90" w:type="dxa"/>
              <w:bottom w:w="60" w:type="dxa"/>
              <w:end w:w="90" w:type="dxa"/>
            </w:tcMar>
          </w:tcPr>
          <w:p>
            <w:pPr>
              <w:keepLines/>
              <w:spacing w:after="0"/>
            </w:pPr>
            <w:r/>
            <w:r>
              <w:rPr>
                <w:rFonts w:ascii="Times New Roman" w:hAnsi="Times New Roman"/>
                <w:sz w:val="17"/>
              </w:rPr>
              <w:t>5 Prozent</w:t>
            </w:r>
          </w:p>
        </w:tc>
        <w:tc>
          <w:tcPr>
            <w:tcW w:type="dxa" w:w="2580"/>
            <w:vAlign w:val="top"/>
            <w:tcMar>
              <w:top w:w="60" w:type="dxa"/>
              <w:start w:w="90" w:type="dxa"/>
              <w:bottom w:w="60" w:type="dxa"/>
              <w:end w:w="90" w:type="dxa"/>
            </w:tcMar>
          </w:tcPr>
          <w:p>
            <w:pPr>
              <w:keepLines/>
              <w:spacing w:after="0"/>
            </w:pPr>
            <w:r/>
            <w:r>
              <w:rPr>
                <w:rFonts w:ascii="Times New Roman" w:hAnsi="Times New Roman"/>
                <w:sz w:val="17"/>
              </w:rPr>
              <w:t>garantierte Minutenwerte und Messpunkt</w:t>
            </w:r>
          </w:p>
        </w:tc>
        <w:tc>
          <w:tcPr>
            <w:tcW w:type="dxa" w:w="2328"/>
            <w:vAlign w:val="top"/>
            <w:tcMar>
              <w:top w:w="60" w:type="dxa"/>
              <w:start w:w="90" w:type="dxa"/>
              <w:bottom w:w="60" w:type="dxa"/>
              <w:end w:w="90" w:type="dxa"/>
            </w:tcMar>
          </w:tcPr>
          <w:p>
            <w:pPr>
              <w:keepLines/>
              <w:spacing w:after="0"/>
            </w:pPr>
            <w:r/>
            <w:r>
              <w:rPr>
                <w:rFonts w:ascii="Times New Roman" w:hAnsi="Times New Roman"/>
                <w:sz w:val="17"/>
              </w:rPr>
              <w:t>konkrete Vertragszusage</w:t>
            </w:r>
          </w:p>
        </w:tc>
      </w:tr>
      <w:tr>
        <w:trPr>
          <w:cantSplit/>
        </w:trPr>
        <w:tc>
          <w:tcPr>
            <w:tcW w:type="dxa" w:w="2216"/>
            <w:vAlign w:val="top"/>
            <w:tcMar>
              <w:top w:w="60" w:type="dxa"/>
              <w:start w:w="90" w:type="dxa"/>
              <w:bottom w:w="60" w:type="dxa"/>
              <w:end w:w="90" w:type="dxa"/>
            </w:tcMar>
            <w:shd w:fill="F1F3F3"/>
          </w:tcPr>
          <w:p>
            <w:pPr>
              <w:keepLines/>
              <w:spacing w:after="0"/>
            </w:pPr>
            <w:r/>
            <w:r>
              <w:rPr>
                <w:rFonts w:ascii="Times New Roman" w:hAnsi="Times New Roman"/>
                <w:sz w:val="17"/>
              </w:rPr>
              <w:t>Mobilisierung vor Ort</w:t>
            </w:r>
          </w:p>
        </w:tc>
        <w:tc>
          <w:tcPr>
            <w:tcW w:type="dxa" w:w="1947"/>
            <w:vAlign w:val="top"/>
            <w:tcMar>
              <w:top w:w="60" w:type="dxa"/>
              <w:start w:w="90" w:type="dxa"/>
              <w:bottom w:w="60" w:type="dxa"/>
              <w:end w:w="90" w:type="dxa"/>
            </w:tcMar>
            <w:shd w:fill="F1F3F3"/>
          </w:tcPr>
          <w:p>
            <w:pPr>
              <w:keepLines/>
              <w:spacing w:after="0"/>
            </w:pPr>
            <w:r/>
            <w:r>
              <w:rPr>
                <w:rFonts w:ascii="Times New Roman" w:hAnsi="Times New Roman"/>
                <w:sz w:val="17"/>
              </w:rPr>
              <w:t>5 Prozent</w:t>
            </w:r>
          </w:p>
        </w:tc>
        <w:tc>
          <w:tcPr>
            <w:tcW w:type="dxa" w:w="2580"/>
            <w:vAlign w:val="top"/>
            <w:tcMar>
              <w:top w:w="60" w:type="dxa"/>
              <w:start w:w="90" w:type="dxa"/>
              <w:bottom w:w="60" w:type="dxa"/>
              <w:end w:w="90" w:type="dxa"/>
            </w:tcMar>
            <w:shd w:fill="F1F3F3"/>
          </w:tcPr>
          <w:p>
            <w:pPr>
              <w:keepLines/>
              <w:spacing w:after="0"/>
            </w:pPr>
            <w:r/>
            <w:r>
              <w:rPr>
                <w:rFonts w:ascii="Times New Roman" w:hAnsi="Times New Roman"/>
                <w:sz w:val="17"/>
              </w:rPr>
              <w:t>Einsatzfolge, Reisezeitannahmen und Ersatzroute</w:t>
            </w:r>
          </w:p>
        </w:tc>
        <w:tc>
          <w:tcPr>
            <w:tcW w:type="dxa" w:w="2328"/>
            <w:vAlign w:val="top"/>
            <w:tcMar>
              <w:top w:w="60" w:type="dxa"/>
              <w:start w:w="90" w:type="dxa"/>
              <w:bottom w:w="60" w:type="dxa"/>
              <w:end w:w="90" w:type="dxa"/>
            </w:tcMar>
            <w:shd w:fill="F1F3F3"/>
          </w:tcPr>
          <w:p>
            <w:pPr>
              <w:keepLines/>
              <w:spacing w:after="0"/>
            </w:pPr>
            <w:r/>
            <w:r>
              <w:rPr>
                <w:rFonts w:ascii="Times New Roman" w:hAnsi="Times New Roman"/>
                <w:sz w:val="17"/>
              </w:rPr>
              <w:t>auftragsbezogenes Umsetzungskonzept</w:t>
            </w:r>
          </w:p>
        </w:tc>
      </w:tr>
      <w:tr>
        <w:trPr>
          <w:cantSplit/>
        </w:trPr>
        <w:tc>
          <w:tcPr>
            <w:tcW w:type="dxa" w:w="2216"/>
            <w:vAlign w:val="top"/>
            <w:tcMar>
              <w:top w:w="60" w:type="dxa"/>
              <w:start w:w="90" w:type="dxa"/>
              <w:bottom w:w="60" w:type="dxa"/>
              <w:end w:w="90" w:type="dxa"/>
            </w:tcMar>
          </w:tcPr>
          <w:p>
            <w:pPr>
              <w:keepLines/>
              <w:spacing w:after="0"/>
            </w:pPr>
            <w:r/>
            <w:r>
              <w:rPr>
                <w:rFonts w:ascii="Times New Roman" w:hAnsi="Times New Roman"/>
                <w:sz w:val="17"/>
              </w:rPr>
              <w:t>Wiederherstellung und Übergabe</w:t>
            </w:r>
          </w:p>
        </w:tc>
        <w:tc>
          <w:tcPr>
            <w:tcW w:type="dxa" w:w="1947"/>
            <w:vAlign w:val="top"/>
            <w:tcMar>
              <w:top w:w="60" w:type="dxa"/>
              <w:start w:w="90" w:type="dxa"/>
              <w:bottom w:w="60" w:type="dxa"/>
              <w:end w:w="90" w:type="dxa"/>
            </w:tcMar>
          </w:tcPr>
          <w:p>
            <w:pPr>
              <w:keepLines/>
              <w:spacing w:after="0"/>
            </w:pPr>
            <w:r/>
            <w:r>
              <w:rPr>
                <w:rFonts w:ascii="Times New Roman" w:hAnsi="Times New Roman"/>
                <w:sz w:val="17"/>
              </w:rPr>
              <w:t>5 Prozent</w:t>
            </w:r>
          </w:p>
        </w:tc>
        <w:tc>
          <w:tcPr>
            <w:tcW w:type="dxa" w:w="2580"/>
            <w:vAlign w:val="top"/>
            <w:tcMar>
              <w:top w:w="60" w:type="dxa"/>
              <w:start w:w="90" w:type="dxa"/>
              <w:bottom w:w="60" w:type="dxa"/>
              <w:end w:w="90" w:type="dxa"/>
            </w:tcMar>
          </w:tcPr>
          <w:p>
            <w:pPr>
              <w:keepLines/>
              <w:spacing w:after="0"/>
            </w:pPr>
            <w:r/>
            <w:r>
              <w:rPr>
                <w:rFonts w:ascii="Times New Roman" w:hAnsi="Times New Roman"/>
                <w:sz w:val="17"/>
              </w:rPr>
              <w:t>abgestufte RTO, Dokumentation und Übergabepunkt</w:t>
            </w:r>
          </w:p>
        </w:tc>
        <w:tc>
          <w:tcPr>
            <w:tcW w:type="dxa" w:w="2328"/>
            <w:vAlign w:val="top"/>
            <w:tcMar>
              <w:top w:w="60" w:type="dxa"/>
              <w:start w:w="90" w:type="dxa"/>
              <w:bottom w:w="60" w:type="dxa"/>
              <w:end w:w="90" w:type="dxa"/>
            </w:tcMar>
          </w:tcPr>
          <w:p>
            <w:pPr>
              <w:keepLines/>
              <w:spacing w:after="0"/>
            </w:pPr>
            <w:r/>
            <w:r>
              <w:rPr>
                <w:rFonts w:ascii="Times New Roman" w:hAnsi="Times New Roman"/>
                <w:sz w:val="17"/>
              </w:rPr>
              <w:t>konkrete Leistung im Störungsfall</w:t>
            </w:r>
          </w:p>
        </w:tc>
      </w:tr>
    </w:tbl>
    <w:p>
      <w:pPr>
        <w:spacing w:after="0" w:before="40"/>
      </w:pPr>
    </w:p>
    <w:p>
      <w:pPr>
        <w:keepNext/>
        <w:keepLines/>
      </w:pPr>
      <w:r>
        <w:t>Die Bewertung erfolgt anhand vorab veröffentlichter Punkteanker. Kürzere Zeiten erhalten nicht automatisch mehr Punkte, wenn Personalansatz, Vertretung oder technische Umsetzbarkeit nicht belastbar dargelegt sind.</w:t>
      </w:r>
    </w:p>
    <w:p>
      <w:pPr>
        <w:pStyle w:val="Heading1"/>
        <w:keepNext/>
        <w:keepLines/>
      </w:pPr>
      <w:r>
        <w:t>4. Kontrollformel</w:t>
      </w:r>
    </w:p>
    <w:p>
      <w:pPr>
        <w:keepNext/>
        <w:keepLines/>
      </w:pPr>
      <w:r>
        <w:t>Gesamtpunkte = Preiswertung + Fachkonzept + Reaktionsleistung + Nachhaltigkeit</w:t>
      </w:r>
    </w:p>
    <w:p>
      <w:pPr>
        <w:keepNext/>
        <w:keepLines/>
      </w:pPr>
      <w:r>
        <w:t>Die Reaktionsleistung fließt mit höchstens 15 von 100 Gesamtpunkten ein. Jede Einzelwertung enthält Angebotsfundstelle, festgestellte Zusage, Plausibilitätsbefund und Begründung. Ein nachträglicher Wechsel von Zielwert zu Garantie ist ausgeschlossen.</w:t>
      </w:r>
    </w:p>
    <w:p>
      <w:pPr>
        <w:pStyle w:val="Heading1"/>
        <w:keepNext/>
        <w:keepLines/>
      </w:pPr>
      <w:r>
        <w:t>5. Veröffentlichte Punkteanker Reaktionsleistung</w:t>
      </w:r>
    </w:p>
    <w:tbl>
      <w:tblPr>
        <w:tblStyle w:val="TableGrid"/>
        <w:tblW w:type="dxa" w:w="9072"/>
        <w:jc w:val="left"/>
        <w:tblLayout w:type="fixed"/>
        <w:tblLook w:firstColumn="1" w:firstRow="1" w:lastColumn="0" w:lastRow="0" w:noHBand="0" w:noVBand="1" w:val="04A0"/>
      </w:tblPr>
      <w:tblGrid>
        <w:gridCol w:w="1676"/>
        <w:gridCol w:w="2566"/>
        <w:gridCol w:w="2381"/>
        <w:gridCol w:w="2449"/>
      </w:tblGrid>
      <w:tr>
        <w:trPr>
          <w:tblHeader w:val="true"/>
          <w:cantSplit/>
        </w:trPr>
        <w:tc>
          <w:tcPr>
            <w:tcW w:type="dxa" w:w="1676"/>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Stufe</w:t>
            </w:r>
          </w:p>
        </w:tc>
        <w:tc>
          <w:tcPr>
            <w:tcW w:type="dxa" w:w="2566"/>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Erstreaktion</w:t>
            </w:r>
          </w:p>
        </w:tc>
        <w:tc>
          <w:tcPr>
            <w:tcW w:type="dxa" w:w="23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Mobilisierung</w:t>
            </w:r>
          </w:p>
        </w:tc>
        <w:tc>
          <w:tcPr>
            <w:tcW w:type="dxa" w:w="2449"/>
            <w:vAlign w:val="top"/>
            <w:tcMar>
              <w:top w:w="60" w:type="dxa"/>
              <w:start w:w="90" w:type="dxa"/>
              <w:bottom w:w="60" w:type="dxa"/>
              <w:end w:w="90" w:type="dxa"/>
            </w:tcMar>
            <w:shd w:fill="01696F"/>
          </w:tcPr>
          <w:p>
            <w:pPr>
              <w:keepLines/>
              <w:spacing w:after="0"/>
            </w:pPr>
            <w:r/>
            <w:r>
              <w:rPr>
                <w:rFonts w:ascii="Times New Roman" w:hAnsi="Times New Roman"/>
                <w:b/>
                <w:color w:val="FFFFFF"/>
                <w:sz w:val="17"/>
              </w:rPr>
              <w:t>Wiederherstellung und Übergabe</w:t>
            </w:r>
          </w:p>
        </w:tc>
      </w:tr>
      <w:tr>
        <w:trPr>
          <w:cantSplit/>
        </w:trPr>
        <w:tc>
          <w:tcPr>
            <w:tcW w:type="dxa" w:w="1676"/>
            <w:vAlign w:val="top"/>
            <w:tcMar>
              <w:top w:w="60" w:type="dxa"/>
              <w:start w:w="90" w:type="dxa"/>
              <w:bottom w:w="60" w:type="dxa"/>
              <w:end w:w="90" w:type="dxa"/>
            </w:tcMar>
          </w:tcPr>
          <w:p>
            <w:pPr>
              <w:keepLines/>
              <w:spacing w:after="0"/>
            </w:pPr>
            <w:r/>
            <w:r>
              <w:rPr>
                <w:rFonts w:ascii="Times New Roman" w:hAnsi="Times New Roman"/>
                <w:sz w:val="17"/>
              </w:rPr>
              <w:t>0 Punkte</w:t>
            </w:r>
          </w:p>
        </w:tc>
        <w:tc>
          <w:tcPr>
            <w:tcW w:type="dxa" w:w="2566"/>
            <w:vAlign w:val="top"/>
            <w:tcMar>
              <w:top w:w="60" w:type="dxa"/>
              <w:start w:w="90" w:type="dxa"/>
              <w:bottom w:w="60" w:type="dxa"/>
              <w:end w:w="90" w:type="dxa"/>
            </w:tcMar>
          </w:tcPr>
          <w:p>
            <w:pPr>
              <w:keepLines/>
              <w:spacing w:after="0"/>
            </w:pPr>
            <w:r/>
            <w:r>
              <w:rPr>
                <w:rFonts w:ascii="Times New Roman" w:hAnsi="Times New Roman"/>
                <w:sz w:val="17"/>
              </w:rPr>
              <w:t>keine verbindliche Zeit oder kein Messpunkt</w:t>
            </w:r>
          </w:p>
        </w:tc>
        <w:tc>
          <w:tcPr>
            <w:tcW w:type="dxa" w:w="2381"/>
            <w:vAlign w:val="top"/>
            <w:tcMar>
              <w:top w:w="60" w:type="dxa"/>
              <w:start w:w="90" w:type="dxa"/>
              <w:bottom w:w="60" w:type="dxa"/>
              <w:end w:w="90" w:type="dxa"/>
            </w:tcMar>
          </w:tcPr>
          <w:p>
            <w:pPr>
              <w:keepLines/>
              <w:spacing w:after="0"/>
            </w:pPr>
            <w:r/>
            <w:r>
              <w:rPr>
                <w:rFonts w:ascii="Times New Roman" w:hAnsi="Times New Roman"/>
                <w:sz w:val="17"/>
              </w:rPr>
              <w:t>kein belastbarer Ablauf</w:t>
            </w:r>
          </w:p>
        </w:tc>
        <w:tc>
          <w:tcPr>
            <w:tcW w:type="dxa" w:w="2449"/>
            <w:vAlign w:val="top"/>
            <w:tcMar>
              <w:top w:w="60" w:type="dxa"/>
              <w:start w:w="90" w:type="dxa"/>
              <w:bottom w:w="60" w:type="dxa"/>
              <w:end w:w="90" w:type="dxa"/>
            </w:tcMar>
          </w:tcPr>
          <w:p>
            <w:pPr>
              <w:keepLines/>
              <w:spacing w:after="0"/>
            </w:pPr>
            <w:r/>
            <w:r>
              <w:rPr>
                <w:rFonts w:ascii="Times New Roman" w:hAnsi="Times New Roman"/>
                <w:sz w:val="17"/>
              </w:rPr>
              <w:t>keine abgestufte Zusage</w:t>
            </w:r>
          </w:p>
        </w:tc>
      </w:tr>
      <w:tr>
        <w:trPr>
          <w:cantSplit/>
        </w:trPr>
        <w:tc>
          <w:tcPr>
            <w:tcW w:type="dxa" w:w="1676"/>
            <w:vAlign w:val="top"/>
            <w:tcMar>
              <w:top w:w="60" w:type="dxa"/>
              <w:start w:w="90" w:type="dxa"/>
              <w:bottom w:w="60" w:type="dxa"/>
              <w:end w:w="90" w:type="dxa"/>
            </w:tcMar>
            <w:shd w:fill="F1F3F3"/>
          </w:tcPr>
          <w:p>
            <w:pPr>
              <w:keepLines/>
              <w:spacing w:after="0"/>
            </w:pPr>
            <w:r/>
            <w:r>
              <w:rPr>
                <w:rFonts w:ascii="Times New Roman" w:hAnsi="Times New Roman"/>
                <w:sz w:val="17"/>
              </w:rPr>
              <w:t>2 Punkte</w:t>
            </w:r>
          </w:p>
        </w:tc>
        <w:tc>
          <w:tcPr>
            <w:tcW w:type="dxa" w:w="2566"/>
            <w:vAlign w:val="top"/>
            <w:tcMar>
              <w:top w:w="60" w:type="dxa"/>
              <w:start w:w="90" w:type="dxa"/>
              <w:bottom w:w="60" w:type="dxa"/>
              <w:end w:w="90" w:type="dxa"/>
            </w:tcMar>
            <w:shd w:fill="F1F3F3"/>
          </w:tcPr>
          <w:p>
            <w:pPr>
              <w:keepLines/>
              <w:spacing w:after="0"/>
            </w:pPr>
            <w:r/>
            <w:r>
              <w:rPr>
                <w:rFonts w:ascii="Times New Roman" w:hAnsi="Times New Roman"/>
                <w:sz w:val="17"/>
              </w:rPr>
              <w:t>Zeit zugesagt, Vertretung oder Messpunkt lückenhaft</w:t>
            </w:r>
          </w:p>
        </w:tc>
        <w:tc>
          <w:tcPr>
            <w:tcW w:type="dxa" w:w="2381"/>
            <w:vAlign w:val="top"/>
            <w:tcMar>
              <w:top w:w="60" w:type="dxa"/>
              <w:start w:w="90" w:type="dxa"/>
              <w:bottom w:w="60" w:type="dxa"/>
              <w:end w:w="90" w:type="dxa"/>
            </w:tcMar>
            <w:shd w:fill="F1F3F3"/>
          </w:tcPr>
          <w:p>
            <w:pPr>
              <w:keepLines/>
              <w:spacing w:after="0"/>
            </w:pPr>
            <w:r/>
            <w:r>
              <w:rPr>
                <w:rFonts w:ascii="Times New Roman" w:hAnsi="Times New Roman"/>
                <w:sz w:val="17"/>
              </w:rPr>
              <w:t>Hauptweg beschrieben, Ersatzweg offen</w:t>
            </w:r>
          </w:p>
        </w:tc>
        <w:tc>
          <w:tcPr>
            <w:tcW w:type="dxa" w:w="2449"/>
            <w:vAlign w:val="top"/>
            <w:tcMar>
              <w:top w:w="60" w:type="dxa"/>
              <w:start w:w="90" w:type="dxa"/>
              <w:bottom w:w="60" w:type="dxa"/>
              <w:end w:w="90" w:type="dxa"/>
            </w:tcMar>
            <w:shd w:fill="F1F3F3"/>
          </w:tcPr>
          <w:p>
            <w:pPr>
              <w:keepLines/>
              <w:spacing w:after="0"/>
            </w:pPr>
            <w:r/>
            <w:r>
              <w:rPr>
                <w:rFonts w:ascii="Times New Roman" w:hAnsi="Times New Roman"/>
                <w:sz w:val="17"/>
              </w:rPr>
              <w:t>Zielzeiten ohne belastbare Ressourcen</w:t>
            </w:r>
          </w:p>
        </w:tc>
      </w:tr>
      <w:tr>
        <w:trPr>
          <w:cantSplit/>
        </w:trPr>
        <w:tc>
          <w:tcPr>
            <w:tcW w:type="dxa" w:w="1676"/>
            <w:vAlign w:val="top"/>
            <w:tcMar>
              <w:top w:w="60" w:type="dxa"/>
              <w:start w:w="90" w:type="dxa"/>
              <w:bottom w:w="60" w:type="dxa"/>
              <w:end w:w="90" w:type="dxa"/>
            </w:tcMar>
          </w:tcPr>
          <w:p>
            <w:pPr>
              <w:keepLines/>
              <w:spacing w:after="0"/>
            </w:pPr>
            <w:r/>
            <w:r>
              <w:rPr>
                <w:rFonts w:ascii="Times New Roman" w:hAnsi="Times New Roman"/>
                <w:sz w:val="17"/>
              </w:rPr>
              <w:t>3 Punkte</w:t>
            </w:r>
          </w:p>
        </w:tc>
        <w:tc>
          <w:tcPr>
            <w:tcW w:type="dxa" w:w="2566"/>
            <w:vAlign w:val="top"/>
            <w:tcMar>
              <w:top w:w="60" w:type="dxa"/>
              <w:start w:w="90" w:type="dxa"/>
              <w:bottom w:w="60" w:type="dxa"/>
              <w:end w:w="90" w:type="dxa"/>
            </w:tcMar>
          </w:tcPr>
          <w:p>
            <w:pPr>
              <w:keepLines/>
              <w:spacing w:after="0"/>
            </w:pPr>
            <w:r/>
            <w:r>
              <w:rPr>
                <w:rFonts w:ascii="Times New Roman" w:hAnsi="Times New Roman"/>
                <w:sz w:val="17"/>
              </w:rPr>
              <w:t>Zeit, Messpunkt und Vertretung schlüssig</w:t>
            </w:r>
          </w:p>
        </w:tc>
        <w:tc>
          <w:tcPr>
            <w:tcW w:type="dxa" w:w="2381"/>
            <w:vAlign w:val="top"/>
            <w:tcMar>
              <w:top w:w="60" w:type="dxa"/>
              <w:start w:w="90" w:type="dxa"/>
              <w:bottom w:w="60" w:type="dxa"/>
              <w:end w:w="90" w:type="dxa"/>
            </w:tcMar>
          </w:tcPr>
          <w:p>
            <w:pPr>
              <w:keepLines/>
              <w:spacing w:after="0"/>
            </w:pPr>
            <w:r/>
            <w:r>
              <w:rPr>
                <w:rFonts w:ascii="Times New Roman" w:hAnsi="Times New Roman"/>
                <w:sz w:val="17"/>
              </w:rPr>
              <w:t>Einsatzfolge und Ersatzroute plausibel</w:t>
            </w:r>
          </w:p>
        </w:tc>
        <w:tc>
          <w:tcPr>
            <w:tcW w:type="dxa" w:w="2449"/>
            <w:vAlign w:val="top"/>
            <w:tcMar>
              <w:top w:w="60" w:type="dxa"/>
              <w:start w:w="90" w:type="dxa"/>
              <w:bottom w:w="60" w:type="dxa"/>
              <w:end w:w="90" w:type="dxa"/>
            </w:tcMar>
          </w:tcPr>
          <w:p>
            <w:pPr>
              <w:keepLines/>
              <w:spacing w:after="0"/>
            </w:pPr>
            <w:r/>
            <w:r>
              <w:rPr>
                <w:rFonts w:ascii="Times New Roman" w:hAnsi="Times New Roman"/>
                <w:sz w:val="17"/>
              </w:rPr>
              <w:t>abgestufte RTO mit Übergabepunkt</w:t>
            </w:r>
          </w:p>
        </w:tc>
      </w:tr>
      <w:tr>
        <w:trPr>
          <w:cantSplit/>
        </w:trPr>
        <w:tc>
          <w:tcPr>
            <w:tcW w:type="dxa" w:w="1676"/>
            <w:vAlign w:val="top"/>
            <w:tcMar>
              <w:top w:w="60" w:type="dxa"/>
              <w:start w:w="90" w:type="dxa"/>
              <w:bottom w:w="60" w:type="dxa"/>
              <w:end w:w="90" w:type="dxa"/>
            </w:tcMar>
            <w:shd w:fill="F1F3F3"/>
          </w:tcPr>
          <w:p>
            <w:pPr>
              <w:keepLines/>
              <w:spacing w:after="0"/>
            </w:pPr>
            <w:r/>
            <w:r>
              <w:rPr>
                <w:rFonts w:ascii="Times New Roman" w:hAnsi="Times New Roman"/>
                <w:sz w:val="17"/>
              </w:rPr>
              <w:t>5 Punkte</w:t>
            </w:r>
          </w:p>
        </w:tc>
        <w:tc>
          <w:tcPr>
            <w:tcW w:type="dxa" w:w="2566"/>
            <w:vAlign w:val="top"/>
            <w:tcMar>
              <w:top w:w="60" w:type="dxa"/>
              <w:start w:w="90" w:type="dxa"/>
              <w:bottom w:w="60" w:type="dxa"/>
              <w:end w:w="90" w:type="dxa"/>
            </w:tcMar>
            <w:shd w:fill="F1F3F3"/>
          </w:tcPr>
          <w:p>
            <w:pPr>
              <w:keepLines/>
              <w:spacing w:after="0"/>
            </w:pPr>
            <w:r/>
            <w:r>
              <w:rPr>
                <w:rFonts w:ascii="Times New Roman" w:hAnsi="Times New Roman"/>
                <w:sz w:val="17"/>
              </w:rPr>
              <w:t>zusätzlich Last- und Eskalationstest bestanden</w:t>
            </w:r>
          </w:p>
        </w:tc>
        <w:tc>
          <w:tcPr>
            <w:tcW w:type="dxa" w:w="2381"/>
            <w:vAlign w:val="top"/>
            <w:tcMar>
              <w:top w:w="60" w:type="dxa"/>
              <w:start w:w="90" w:type="dxa"/>
              <w:bottom w:w="60" w:type="dxa"/>
              <w:end w:w="90" w:type="dxa"/>
            </w:tcMar>
            <w:shd w:fill="F1F3F3"/>
          </w:tcPr>
          <w:p>
            <w:pPr>
              <w:keepLines/>
              <w:spacing w:after="0"/>
            </w:pPr>
            <w:r/>
            <w:r>
              <w:rPr>
                <w:rFonts w:ascii="Times New Roman" w:hAnsi="Times New Roman"/>
                <w:sz w:val="17"/>
              </w:rPr>
              <w:t>zusätzlich personell und geografisch belastbar</w:t>
            </w:r>
          </w:p>
        </w:tc>
        <w:tc>
          <w:tcPr>
            <w:tcW w:type="dxa" w:w="2449"/>
            <w:vAlign w:val="top"/>
            <w:tcMar>
              <w:top w:w="60" w:type="dxa"/>
              <w:start w:w="90" w:type="dxa"/>
              <w:bottom w:w="60" w:type="dxa"/>
              <w:end w:w="90" w:type="dxa"/>
            </w:tcMar>
            <w:shd w:fill="F1F3F3"/>
          </w:tcPr>
          <w:p>
            <w:pPr>
              <w:keepLines/>
              <w:spacing w:after="0"/>
            </w:pPr>
            <w:r/>
            <w:r>
              <w:rPr>
                <w:rFonts w:ascii="Times New Roman" w:hAnsi="Times New Roman"/>
                <w:sz w:val="17"/>
              </w:rPr>
              <w:t>zusätzlich überprüfbare Wiederanlaufprobe</w:t>
            </w:r>
          </w:p>
        </w:tc>
      </w:tr>
    </w:tbl>
    <w:p>
      <w:pPr>
        <w:spacing w:after="0" w:before="40"/>
      </w:pPr>
    </w:p>
    <w:p>
      <w:pPr>
        <w:keepLines/>
      </w:pPr>
      <w:r>
        <w:t>Die Wertungsgruppe darf nur die veröffentlichten Anker und fristgerechten Angebotsinhalte heranziehen. Eine schnellere Zeit erhält keine höhere Stufe, wenn sie nach Personal, Bereitschaft, Reiseweg oder technischer Abhängigkeit nicht plausibel ausführbar ist.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MID-STRAT-2026-07</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Ministerium des Innern Musterland - Zentrale Vergabestelle</w:t>
      <w:t xml:space="preserve">  |  MID-STRAT-2026-07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Funktionale Reaktionsanforderungen ohne Standortbonus</dc:title>
  <dc:subject>Auswahl- und Wertungsmatrix | Az. MID-STRAT-2026-07</dc:subject>
  <dc:creator>Ministerium des Innern Musterland - Zentrale Vergabestelle</dc:creator>
  <cp:keywords>Vergaberecht, MID-STRAT-2026-07, Auswahl- und Wertungsmatrix</cp:keywords>
  <dc:description>generated by python-docx</dc:description>
  <cp:lastModifiedBy>Ministerium des Innern Musterland - Zentrale Vergabestelle</cp:lastModifiedBy>
  <cp:revision>1</cp:revision>
  <dcterms:created xsi:type="dcterms:W3CDTF">2000-01-01T00:00:00Z</dcterms:created>
  <dcterms:modified xsi:type="dcterms:W3CDTF">2000-01-01T00:00:00Z</dcterms:modified>
  <cp:category>Vergabeakte</cp:category>
</cp:coreProperties>
</file>