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dxa" w:w="9071"/>
        <w:jc w:val="left"/>
        <w:tblLayout w:type="fixed"/>
        <w:tblLook w:firstColumn="1" w:firstRow="1" w:lastColumn="0" w:lastRow="0" w:noHBand="0" w:noVBand="1" w:val="04A0"/>
      </w:tblPr>
      <w:tblGrid>
        <w:gridCol w:w="5499"/>
        <w:gridCol w:w="3572"/>
      </w:tblGrid>
      <w:tr>
        <w:tc>
          <w:tcPr>
            <w:tcW w:type="dxa" w:w="5499"/>
            <w:vAlign w:val="top"/>
            <w:tcMar>
              <w:top w:w="0" w:type="dxa"/>
              <w:start w:w="0" w:type="dxa"/>
              <w:bottom w:w="100" w:type="dxa"/>
              <w:end w:w="0" w:type="dxa"/>
            </w:tcMar>
          </w:tcPr>
          <w:p>
            <w:pPr>
              <w:spacing w:after="20"/>
              <w:pBdr>
                <w:bottom w:val="single" w:sz="6" w:space="5" w:color="01696F"/>
              </w:pBdr>
            </w:pPr>
            <w:r>
              <w:rPr>
                <w:rFonts w:ascii="Times New Roman" w:hAnsi="Times New Roman"/>
                <w:b/>
                <w:color w:val="01696F"/>
                <w:sz w:val="24"/>
              </w:rPr>
              <w:t>Stadt Hafenburg - Amt für Digitalisierung</w:t>
            </w:r>
          </w:p>
          <w:p>
            <w:pPr>
              <w:spacing w:after="0"/>
            </w:pPr>
            <w:r>
              <w:rPr>
                <w:color w:val="646464"/>
                <w:sz w:val="18"/>
              </w:rPr>
              <w:t>Hafenallee 12, 21079 Hafenburg</w:t>
            </w:r>
          </w:p>
        </w:tc>
        <w:tc>
          <w:tcPr>
            <w:tcW w:type="dxa" w:w="3572"/>
            <w:vAlign w:val="top"/>
            <w:tcMar>
              <w:top w:w="0" w:type="dxa"/>
              <w:start w:w="0" w:type="dxa"/>
              <w:bottom w:w="100" w:type="dxa"/>
              <w:end w:w="0" w:type="dxa"/>
            </w:tcMar>
          </w:tcPr>
          <w:p>
            <w:pPr>
              <w:spacing w:after="0"/>
              <w:jc w:val="right"/>
              <w:pBdr>
                <w:bottom w:val="single" w:sz="6" w:space="5" w:color="01696F"/>
              </w:pBdr>
            </w:pPr>
            <w:r>
              <w:rPr>
                <w:rFonts w:ascii="Times New Roman" w:hAnsi="Times New Roman"/>
                <w:color w:val="646464"/>
                <w:sz w:val="18"/>
              </w:rPr>
              <w:t>Datum: 02.11.2026</w:t>
              <w:br/>
            </w:r>
            <w:r>
              <w:rPr>
                <w:rFonts w:ascii="Times New Roman" w:hAnsi="Times New Roman"/>
                <w:color w:val="646464"/>
                <w:sz w:val="18"/>
              </w:rPr>
              <w:t>Aktenzeichen: HB-IT-SERVICE-2026</w:t>
              <w:br/>
            </w:r>
            <w:r>
              <w:rPr>
                <w:rFonts w:ascii="Times New Roman" w:hAnsi="Times New Roman"/>
                <w:color w:val="646464"/>
                <w:sz w:val="18"/>
              </w:rPr>
              <w:t>Interner Entscheidungsvermerk</w:t>
            </w:r>
          </w:p>
        </w:tc>
      </w:tr>
    </w:tbl>
    <w:p>
      <w:pPr>
        <w:spacing w:before="200" w:after="40"/>
      </w:pPr>
      <w:r>
        <w:rPr>
          <w:rFonts w:ascii="Times New Roman" w:hAnsi="Times New Roman"/>
          <w:color w:val="646464"/>
          <w:sz w:val="15"/>
        </w:rPr>
        <w:t>Stadt Hafenburg - Amt für Digitalisierung · Hafenallee 12, 21079 Hafenburg</w:t>
      </w:r>
    </w:p>
    <w:p>
      <w:pPr>
        <w:spacing w:after="240"/>
      </w:pPr>
      <w:r>
        <w:t>Interne Vergabe- und Rechtsakte</w:t>
      </w:r>
    </w:p>
    <w:p>
      <w:pPr>
        <w:pStyle w:val="Title"/>
      </w:pPr>
      <w:r>
        <w:t>Fallvarianten für Insolvenzplan, Asset Deal und Interimslösung</w:t>
      </w:r>
    </w:p>
    <w:p>
      <w:r>
        <w:t>Aktenvermerk der Zentralen Vergabestelle vom 02.11.2026 zur internen Vorbereitung der Entscheidung über Fortführung, Erwerbereintritt, Interimsvergabe oder Neuausschreibung.</w:t>
      </w:r>
    </w:p>
    <w:p>
      <w:pPr>
        <w:pStyle w:val="Heading1"/>
      </w:pPr>
      <w:r>
        <w:t>Entscheidungsbaum</w:t>
      </w:r>
    </w:p>
    <w:tbl>
      <w:tblPr>
        <w:tblStyle w:val="TableGrid"/>
        <w:tblW w:type="dxa" w:w="9071"/>
        <w:jc w:val="left"/>
        <w:tblLayout w:type="fixed"/>
        <w:tblLook w:firstColumn="1" w:firstRow="1" w:lastColumn="0" w:lastRow="0" w:noHBand="0" w:noVBand="1" w:val="04A0"/>
      </w:tblPr>
      <w:tblGrid>
        <w:gridCol w:w="2467"/>
        <w:gridCol w:w="3469"/>
        <w:gridCol w:w="3135"/>
      </w:tblGrid>
      <w:tr>
        <w:trPr>
          <w:tblHeader w:val="true"/>
          <w:cantSplit/>
        </w:trPr>
        <w:tc>
          <w:tcPr>
            <w:tcW w:type="dxa" w:w="2467"/>
            <w:vAlign w:val="top"/>
            <w:tcMar>
              <w:top w:w="60" w:type="dxa"/>
              <w:start w:w="90" w:type="dxa"/>
              <w:bottom w:w="60" w:type="dxa"/>
              <w:end w:w="90" w:type="dxa"/>
            </w:tcMar>
            <w:shd w:fill="01696F"/>
          </w:tcPr>
          <w:p>
            <w:pPr>
              <w:keepLines/>
              <w:spacing w:after="0"/>
            </w:pPr>
            <w:r/>
            <w:r>
              <w:rPr>
                <w:rFonts w:ascii="Times New Roman" w:hAnsi="Times New Roman"/>
                <w:b/>
                <w:color w:val="FFFFFF"/>
                <w:sz w:val="17"/>
              </w:rPr>
              <w:t>Variante</w:t>
            </w:r>
          </w:p>
        </w:tc>
        <w:tc>
          <w:tcPr>
            <w:tcW w:type="dxa" w:w="3469"/>
            <w:vAlign w:val="top"/>
            <w:tcMar>
              <w:top w:w="60" w:type="dxa"/>
              <w:start w:w="90" w:type="dxa"/>
              <w:bottom w:w="60" w:type="dxa"/>
              <w:end w:w="90" w:type="dxa"/>
            </w:tcMar>
            <w:shd w:fill="01696F"/>
          </w:tcPr>
          <w:p>
            <w:pPr>
              <w:keepLines/>
              <w:spacing w:after="0"/>
            </w:pPr>
            <w:r/>
            <w:r>
              <w:rPr>
                <w:rFonts w:ascii="Times New Roman" w:hAnsi="Times New Roman"/>
                <w:b/>
                <w:color w:val="FFFFFF"/>
                <w:sz w:val="17"/>
              </w:rPr>
              <w:t>Kernfrage</w:t>
            </w:r>
          </w:p>
        </w:tc>
        <w:tc>
          <w:tcPr>
            <w:tcW w:type="dxa" w:w="3135"/>
            <w:vAlign w:val="top"/>
            <w:tcMar>
              <w:top w:w="60" w:type="dxa"/>
              <w:start w:w="90" w:type="dxa"/>
              <w:bottom w:w="60" w:type="dxa"/>
              <w:end w:w="90" w:type="dxa"/>
            </w:tcMar>
            <w:shd w:fill="01696F"/>
          </w:tcPr>
          <w:p>
            <w:pPr>
              <w:keepLines/>
              <w:spacing w:after="0"/>
            </w:pPr>
            <w:r/>
            <w:r>
              <w:rPr>
                <w:rFonts w:ascii="Times New Roman" w:hAnsi="Times New Roman"/>
                <w:b/>
                <w:color w:val="FFFFFF"/>
                <w:sz w:val="17"/>
              </w:rPr>
              <w:t>Tendenz</w:t>
            </w:r>
          </w:p>
        </w:tc>
      </w:tr>
      <w:tr>
        <w:trPr>
          <w:cantSplit/>
        </w:trPr>
        <w:tc>
          <w:tcPr>
            <w:tcW w:type="dxa" w:w="2467"/>
            <w:vAlign w:val="top"/>
            <w:tcMar>
              <w:top w:w="60" w:type="dxa"/>
              <w:start w:w="90" w:type="dxa"/>
              <w:bottom w:w="60" w:type="dxa"/>
              <w:end w:w="90" w:type="dxa"/>
            </w:tcMar>
          </w:tcPr>
          <w:p>
            <w:pPr>
              <w:keepLines/>
              <w:spacing w:after="0"/>
            </w:pPr>
            <w:r/>
            <w:r>
              <w:rPr>
                <w:rFonts w:ascii="Times New Roman" w:hAnsi="Times New Roman"/>
                <w:sz w:val="17"/>
              </w:rPr>
              <w:t>Insolvenzplan, gleicher Rechtsträger bleibt Auftragnehmer</w:t>
            </w:r>
          </w:p>
        </w:tc>
        <w:tc>
          <w:tcPr>
            <w:tcW w:type="dxa" w:w="3469"/>
            <w:vAlign w:val="top"/>
            <w:tcMar>
              <w:top w:w="60" w:type="dxa"/>
              <w:start w:w="90" w:type="dxa"/>
              <w:bottom w:w="60" w:type="dxa"/>
              <w:end w:w="90" w:type="dxa"/>
            </w:tcMar>
          </w:tcPr>
          <w:p>
            <w:pPr>
              <w:keepLines/>
              <w:spacing w:after="0"/>
            </w:pPr>
            <w:r/>
            <w:r>
              <w:rPr>
                <w:rFonts w:ascii="Times New Roman" w:hAnsi="Times New Roman"/>
                <w:sz w:val="17"/>
              </w:rPr>
              <w:t>Ist der ursprüngliche Auftragnehmer trotz Insolvenzplan weiterhin geeignet und leistungsfähig?</w:t>
            </w:r>
          </w:p>
        </w:tc>
        <w:tc>
          <w:tcPr>
            <w:tcW w:type="dxa" w:w="3135"/>
            <w:vAlign w:val="top"/>
            <w:tcMar>
              <w:top w:w="60" w:type="dxa"/>
              <w:start w:w="90" w:type="dxa"/>
              <w:bottom w:w="60" w:type="dxa"/>
              <w:end w:w="90" w:type="dxa"/>
            </w:tcMar>
          </w:tcPr>
          <w:p>
            <w:pPr>
              <w:keepLines/>
              <w:spacing w:after="0"/>
            </w:pPr>
            <w:r/>
            <w:r>
              <w:rPr>
                <w:rFonts w:ascii="Times New Roman" w:hAnsi="Times New Roman"/>
                <w:sz w:val="17"/>
              </w:rPr>
              <w:t>Kein Auftragnehmerwechsel, aber Eignung, Sicherheiten und Ausschlussgründe neu prüfen.</w:t>
            </w:r>
          </w:p>
        </w:tc>
      </w:tr>
      <w:tr>
        <w:trPr>
          <w:cantSplit/>
        </w:trPr>
        <w:tc>
          <w:tcPr>
            <w:tcW w:type="dxa" w:w="2467"/>
            <w:vAlign w:val="top"/>
            <w:tcMar>
              <w:top w:w="60" w:type="dxa"/>
              <w:start w:w="90" w:type="dxa"/>
              <w:bottom w:w="60" w:type="dxa"/>
              <w:end w:w="90" w:type="dxa"/>
            </w:tcMar>
            <w:shd w:fill="F1F3F3"/>
          </w:tcPr>
          <w:p>
            <w:pPr>
              <w:keepLines/>
              <w:spacing w:after="0"/>
            </w:pPr>
            <w:r/>
            <w:r>
              <w:rPr>
                <w:rFonts w:ascii="Times New Roman" w:hAnsi="Times New Roman"/>
                <w:sz w:val="17"/>
              </w:rPr>
              <w:t>Asset Deal mit Betriebsteilübergang</w:t>
            </w:r>
          </w:p>
        </w:tc>
        <w:tc>
          <w:tcPr>
            <w:tcW w:type="dxa" w:w="3469"/>
            <w:vAlign w:val="top"/>
            <w:tcMar>
              <w:top w:w="60" w:type="dxa"/>
              <w:start w:w="90" w:type="dxa"/>
              <w:bottom w:w="60" w:type="dxa"/>
              <w:end w:w="90" w:type="dxa"/>
            </w:tcMar>
            <w:shd w:fill="F1F3F3"/>
          </w:tcPr>
          <w:p>
            <w:pPr>
              <w:keepLines/>
              <w:spacing w:after="0"/>
            </w:pPr>
            <w:r/>
            <w:r>
              <w:rPr>
                <w:rFonts w:ascii="Times New Roman" w:hAnsi="Times New Roman"/>
                <w:sz w:val="17"/>
              </w:rPr>
              <w:t>Übernimmt die Erwerberin Personal, Betriebsmittel, Know-how und Vertragspflichten so, dass sie funktional an die Stelle der NordSys Services GmbH tritt?</w:t>
            </w:r>
          </w:p>
        </w:tc>
        <w:tc>
          <w:tcPr>
            <w:tcW w:type="dxa" w:w="3135"/>
            <w:vAlign w:val="top"/>
            <w:tcMar>
              <w:top w:w="60" w:type="dxa"/>
              <w:start w:w="90" w:type="dxa"/>
              <w:bottom w:w="60" w:type="dxa"/>
              <w:end w:w="90" w:type="dxa"/>
            </w:tcMar>
            <w:shd w:fill="F1F3F3"/>
          </w:tcPr>
          <w:p>
            <w:pPr>
              <w:keepLines/>
              <w:spacing w:after="0"/>
            </w:pPr>
            <w:r/>
            <w:r>
              <w:rPr>
                <w:rFonts w:ascii="Times New Roman" w:hAnsi="Times New Roman"/>
                <w:sz w:val="17"/>
              </w:rPr>
              <w:t>§ 132 Abs. 2 Satz 1 Nr. 4 Buchstabe b GWB kann greifen.</w:t>
            </w:r>
          </w:p>
        </w:tc>
      </w:tr>
      <w:tr>
        <w:trPr>
          <w:cantSplit/>
        </w:trPr>
        <w:tc>
          <w:tcPr>
            <w:tcW w:type="dxa" w:w="2467"/>
            <w:vAlign w:val="top"/>
            <w:tcMar>
              <w:top w:w="60" w:type="dxa"/>
              <w:start w:w="90" w:type="dxa"/>
              <w:bottom w:w="60" w:type="dxa"/>
              <w:end w:w="90" w:type="dxa"/>
            </w:tcMar>
          </w:tcPr>
          <w:p>
            <w:pPr>
              <w:keepLines/>
              <w:spacing w:after="0"/>
            </w:pPr>
            <w:r/>
            <w:r>
              <w:rPr>
                <w:rFonts w:ascii="Times New Roman" w:hAnsi="Times New Roman"/>
                <w:sz w:val="17"/>
              </w:rPr>
              <w:t>Asset Deal nur mit Vertragsabtretung</w:t>
            </w:r>
          </w:p>
        </w:tc>
        <w:tc>
          <w:tcPr>
            <w:tcW w:type="dxa" w:w="3469"/>
            <w:vAlign w:val="top"/>
            <w:tcMar>
              <w:top w:w="60" w:type="dxa"/>
              <w:start w:w="90" w:type="dxa"/>
              <w:bottom w:w="60" w:type="dxa"/>
              <w:end w:w="90" w:type="dxa"/>
            </w:tcMar>
          </w:tcPr>
          <w:p>
            <w:pPr>
              <w:keepLines/>
              <w:spacing w:after="0"/>
            </w:pPr>
            <w:r/>
            <w:r>
              <w:rPr>
                <w:rFonts w:ascii="Times New Roman" w:hAnsi="Times New Roman"/>
                <w:sz w:val="17"/>
              </w:rPr>
              <w:t>Wird nur der lukrative Vertrag übernommen, ohne die operative Leistungsorganisation?</w:t>
            </w:r>
          </w:p>
        </w:tc>
        <w:tc>
          <w:tcPr>
            <w:tcW w:type="dxa" w:w="3135"/>
            <w:vAlign w:val="top"/>
            <w:tcMar>
              <w:top w:w="60" w:type="dxa"/>
              <w:start w:w="90" w:type="dxa"/>
              <w:bottom w:w="60" w:type="dxa"/>
              <w:end w:w="90" w:type="dxa"/>
            </w:tcMar>
          </w:tcPr>
          <w:p>
            <w:pPr>
              <w:keepLines/>
              <w:spacing w:after="0"/>
            </w:pPr>
            <w:r/>
            <w:r>
              <w:rPr>
                <w:rFonts w:ascii="Times New Roman" w:hAnsi="Times New Roman"/>
                <w:sz w:val="17"/>
              </w:rPr>
              <w:t>Hohes Risiko einer wesentlichen Änderung und Neuausschreibungspflicht.</w:t>
            </w:r>
          </w:p>
        </w:tc>
      </w:tr>
      <w:tr>
        <w:trPr>
          <w:cantSplit/>
        </w:trPr>
        <w:tc>
          <w:tcPr>
            <w:tcW w:type="dxa" w:w="2467"/>
            <w:vAlign w:val="top"/>
            <w:tcMar>
              <w:top w:w="60" w:type="dxa"/>
              <w:start w:w="90" w:type="dxa"/>
              <w:bottom w:w="60" w:type="dxa"/>
              <w:end w:w="90" w:type="dxa"/>
            </w:tcMar>
            <w:shd w:fill="F1F3F3"/>
          </w:tcPr>
          <w:p>
            <w:pPr>
              <w:keepLines/>
              <w:spacing w:after="0"/>
            </w:pPr>
            <w:r/>
            <w:r>
              <w:rPr>
                <w:rFonts w:ascii="Times New Roman" w:hAnsi="Times New Roman"/>
                <w:sz w:val="17"/>
              </w:rPr>
              <w:t>Share Deal</w:t>
            </w:r>
          </w:p>
        </w:tc>
        <w:tc>
          <w:tcPr>
            <w:tcW w:type="dxa" w:w="3469"/>
            <w:vAlign w:val="top"/>
            <w:tcMar>
              <w:top w:w="60" w:type="dxa"/>
              <w:start w:w="90" w:type="dxa"/>
              <w:bottom w:w="60" w:type="dxa"/>
              <w:end w:w="90" w:type="dxa"/>
            </w:tcMar>
            <w:shd w:fill="F1F3F3"/>
          </w:tcPr>
          <w:p>
            <w:pPr>
              <w:keepLines/>
              <w:spacing w:after="0"/>
            </w:pPr>
            <w:r/>
            <w:r>
              <w:rPr>
                <w:rFonts w:ascii="Times New Roman" w:hAnsi="Times New Roman"/>
                <w:sz w:val="17"/>
              </w:rPr>
              <w:t>Bleibt derselbe Vertragspartner bestehen, während Gesellschafter wechseln?</w:t>
            </w:r>
          </w:p>
        </w:tc>
        <w:tc>
          <w:tcPr>
            <w:tcW w:type="dxa" w:w="3135"/>
            <w:vAlign w:val="top"/>
            <w:tcMar>
              <w:top w:w="60" w:type="dxa"/>
              <w:start w:w="90" w:type="dxa"/>
              <w:bottom w:w="60" w:type="dxa"/>
              <w:end w:w="90" w:type="dxa"/>
            </w:tcMar>
            <w:shd w:fill="F1F3F3"/>
          </w:tcPr>
          <w:p>
            <w:pPr>
              <w:keepLines/>
              <w:spacing w:after="0"/>
            </w:pPr>
            <w:r/>
            <w:r>
              <w:rPr>
                <w:rFonts w:ascii="Times New Roman" w:hAnsi="Times New Roman"/>
                <w:sz w:val="17"/>
              </w:rPr>
              <w:t>Meist kein Auftragnehmerwechsel, aber Kontrolle, Ausschlussgründe und Umgehungsrisiko prüfen.</w:t>
            </w:r>
          </w:p>
        </w:tc>
      </w:tr>
      <w:tr>
        <w:trPr>
          <w:cantSplit/>
        </w:trPr>
        <w:tc>
          <w:tcPr>
            <w:tcW w:type="dxa" w:w="2467"/>
            <w:vAlign w:val="top"/>
            <w:tcMar>
              <w:top w:w="60" w:type="dxa"/>
              <w:start w:w="90" w:type="dxa"/>
              <w:bottom w:w="60" w:type="dxa"/>
              <w:end w:w="90" w:type="dxa"/>
            </w:tcMar>
          </w:tcPr>
          <w:p>
            <w:pPr>
              <w:keepLines/>
              <w:spacing w:after="0"/>
            </w:pPr>
            <w:r/>
            <w:r>
              <w:rPr>
                <w:rFonts w:ascii="Times New Roman" w:hAnsi="Times New Roman"/>
                <w:sz w:val="17"/>
              </w:rPr>
              <w:t>Nachunternehmer springt dauerhaft ein</w:t>
            </w:r>
          </w:p>
        </w:tc>
        <w:tc>
          <w:tcPr>
            <w:tcW w:type="dxa" w:w="3469"/>
            <w:vAlign w:val="top"/>
            <w:tcMar>
              <w:top w:w="60" w:type="dxa"/>
              <w:start w:w="90" w:type="dxa"/>
              <w:bottom w:w="60" w:type="dxa"/>
              <w:end w:w="90" w:type="dxa"/>
            </w:tcMar>
          </w:tcPr>
          <w:p>
            <w:pPr>
              <w:keepLines/>
              <w:spacing w:after="0"/>
            </w:pPr>
            <w:r/>
            <w:r>
              <w:rPr>
                <w:rFonts w:ascii="Times New Roman" w:hAnsi="Times New Roman"/>
                <w:sz w:val="17"/>
              </w:rPr>
              <w:t>Übernimmt ein Nachunternehmer die Hauptleistung, ohne selbst Vertragspartner zu werden?</w:t>
            </w:r>
          </w:p>
        </w:tc>
        <w:tc>
          <w:tcPr>
            <w:tcW w:type="dxa" w:w="3135"/>
            <w:vAlign w:val="top"/>
            <w:tcMar>
              <w:top w:w="60" w:type="dxa"/>
              <w:start w:w="90" w:type="dxa"/>
              <w:bottom w:w="60" w:type="dxa"/>
              <w:end w:w="90" w:type="dxa"/>
            </w:tcMar>
          </w:tcPr>
          <w:p>
            <w:pPr>
              <w:keepLines/>
              <w:spacing w:after="0"/>
            </w:pPr>
            <w:r/>
            <w:r>
              <w:rPr>
                <w:rFonts w:ascii="Times New Roman" w:hAnsi="Times New Roman"/>
                <w:sz w:val="17"/>
              </w:rPr>
              <w:t>Prüfen, ob faktisch ein neuer Hauptauftragnehmer entsteht.</w:t>
            </w:r>
          </w:p>
        </w:tc>
      </w:tr>
      <w:tr>
        <w:trPr>
          <w:cantSplit/>
        </w:trPr>
        <w:tc>
          <w:tcPr>
            <w:tcW w:type="dxa" w:w="2467"/>
            <w:vAlign w:val="top"/>
            <w:tcMar>
              <w:top w:w="60" w:type="dxa"/>
              <w:start w:w="90" w:type="dxa"/>
              <w:bottom w:w="60" w:type="dxa"/>
              <w:end w:w="90" w:type="dxa"/>
            </w:tcMar>
            <w:shd w:fill="F1F3F3"/>
          </w:tcPr>
          <w:p>
            <w:pPr>
              <w:keepLines/>
              <w:spacing w:after="0"/>
            </w:pPr>
            <w:r/>
            <w:r>
              <w:rPr>
                <w:rFonts w:ascii="Times New Roman" w:hAnsi="Times New Roman"/>
                <w:sz w:val="17"/>
              </w:rPr>
              <w:t>Leistung bricht sofort weg</w:t>
            </w:r>
          </w:p>
        </w:tc>
        <w:tc>
          <w:tcPr>
            <w:tcW w:type="dxa" w:w="3469"/>
            <w:vAlign w:val="top"/>
            <w:tcMar>
              <w:top w:w="60" w:type="dxa"/>
              <w:start w:w="90" w:type="dxa"/>
              <w:bottom w:w="60" w:type="dxa"/>
              <w:end w:w="90" w:type="dxa"/>
            </w:tcMar>
            <w:shd w:fill="F1F3F3"/>
          </w:tcPr>
          <w:p>
            <w:pPr>
              <w:keepLines/>
              <w:spacing w:after="0"/>
            </w:pPr>
            <w:r/>
            <w:r>
              <w:rPr>
                <w:rFonts w:ascii="Times New Roman" w:hAnsi="Times New Roman"/>
                <w:sz w:val="17"/>
              </w:rPr>
              <w:t>Ist die kommunale IT ohne Übergang akut gefährdet?</w:t>
            </w:r>
          </w:p>
        </w:tc>
        <w:tc>
          <w:tcPr>
            <w:tcW w:type="dxa" w:w="3135"/>
            <w:vAlign w:val="top"/>
            <w:tcMar>
              <w:top w:w="60" w:type="dxa"/>
              <w:start w:w="90" w:type="dxa"/>
              <w:bottom w:w="60" w:type="dxa"/>
              <w:end w:w="90" w:type="dxa"/>
            </w:tcMar>
            <w:shd w:fill="F1F3F3"/>
          </w:tcPr>
          <w:p>
            <w:pPr>
              <w:keepLines/>
              <w:spacing w:after="0"/>
            </w:pPr>
            <w:r/>
            <w:r>
              <w:rPr>
                <w:rFonts w:ascii="Times New Roman" w:hAnsi="Times New Roman"/>
                <w:sz w:val="17"/>
              </w:rPr>
              <w:t>Eng befristete Interimsvergabe dokumentieren und parallel Neuvergabe vorbereiten.</w:t>
            </w:r>
          </w:p>
        </w:tc>
      </w:tr>
    </w:tbl>
    <w:p>
      <w:pPr>
        <w:spacing w:after="0" w:before="40"/>
      </w:pPr>
    </w:p>
    <w:p>
      <w:pPr>
        <w:pStyle w:val="Heading1"/>
      </w:pPr>
      <w:r>
        <w:t>VK-Antragsfolgen</w:t>
      </w:r>
    </w:p>
    <w:tbl>
      <w:tblPr>
        <w:tblStyle w:val="TableGrid"/>
        <w:tblW w:type="dxa" w:w="9071"/>
        <w:jc w:val="left"/>
        <w:tblLayout w:type="fixed"/>
        <w:tblLook w:firstColumn="1" w:firstRow="1" w:lastColumn="0" w:lastRow="0" w:noHBand="0" w:noVBand="1" w:val="04A0"/>
      </w:tblPr>
      <w:tblGrid>
        <w:gridCol w:w="2347"/>
        <w:gridCol w:w="6724"/>
      </w:tblGrid>
      <w:tr>
        <w:trPr>
          <w:tblHeader w:val="true"/>
          <w:cantSplit/>
        </w:trPr>
        <w:tc>
          <w:tcPr>
            <w:tcW w:type="dxa" w:w="2347"/>
            <w:vAlign w:val="top"/>
            <w:tcMar>
              <w:top w:w="60" w:type="dxa"/>
              <w:start w:w="90" w:type="dxa"/>
              <w:bottom w:w="60" w:type="dxa"/>
              <w:end w:w="90" w:type="dxa"/>
            </w:tcMar>
            <w:shd w:fill="01696F"/>
          </w:tcPr>
          <w:p>
            <w:pPr>
              <w:keepLines/>
              <w:spacing w:after="0"/>
            </w:pPr>
            <w:r/>
            <w:r>
              <w:rPr>
                <w:rFonts w:ascii="Times New Roman" w:hAnsi="Times New Roman"/>
                <w:b/>
                <w:color w:val="FFFFFF"/>
                <w:sz w:val="17"/>
              </w:rPr>
              <w:t>Rolle</w:t>
            </w:r>
          </w:p>
        </w:tc>
        <w:tc>
          <w:tcPr>
            <w:tcW w:type="dxa" w:w="6724"/>
            <w:vAlign w:val="top"/>
            <w:tcMar>
              <w:top w:w="60" w:type="dxa"/>
              <w:start w:w="90" w:type="dxa"/>
              <w:bottom w:w="60" w:type="dxa"/>
              <w:end w:w="90" w:type="dxa"/>
            </w:tcMar>
            <w:shd w:fill="01696F"/>
          </w:tcPr>
          <w:p>
            <w:pPr>
              <w:keepLines/>
              <w:spacing w:after="0"/>
            </w:pPr>
            <w:r/>
            <w:r>
              <w:rPr>
                <w:rFonts w:ascii="Times New Roman" w:hAnsi="Times New Roman"/>
                <w:b/>
                <w:color w:val="FFFFFF"/>
                <w:sz w:val="17"/>
              </w:rPr>
              <w:t>Praktischer Antrag</w:t>
            </w:r>
          </w:p>
        </w:tc>
      </w:tr>
      <w:tr>
        <w:trPr>
          <w:cantSplit/>
        </w:trPr>
        <w:tc>
          <w:tcPr>
            <w:tcW w:type="dxa" w:w="2347"/>
            <w:vAlign w:val="top"/>
            <w:tcMar>
              <w:top w:w="60" w:type="dxa"/>
              <w:start w:w="90" w:type="dxa"/>
              <w:bottom w:w="60" w:type="dxa"/>
              <w:end w:w="90" w:type="dxa"/>
            </w:tcMar>
          </w:tcPr>
          <w:p>
            <w:pPr>
              <w:keepLines/>
              <w:spacing w:after="0"/>
            </w:pPr>
            <w:r/>
            <w:r>
              <w:rPr>
                <w:rFonts w:ascii="Times New Roman" w:hAnsi="Times New Roman"/>
                <w:sz w:val="17"/>
              </w:rPr>
              <w:t>Vergabestelle</w:t>
            </w:r>
          </w:p>
        </w:tc>
        <w:tc>
          <w:tcPr>
            <w:tcW w:type="dxa" w:w="6724"/>
            <w:vAlign w:val="top"/>
            <w:tcMar>
              <w:top w:w="60" w:type="dxa"/>
              <w:start w:w="90" w:type="dxa"/>
              <w:bottom w:w="60" w:type="dxa"/>
              <w:end w:w="90" w:type="dxa"/>
            </w:tcMar>
          </w:tcPr>
          <w:p>
            <w:pPr>
              <w:keepLines/>
              <w:spacing w:after="0"/>
            </w:pPr>
            <w:r/>
            <w:r>
              <w:rPr>
                <w:rFonts w:ascii="Times New Roman" w:hAnsi="Times New Roman"/>
                <w:sz w:val="17"/>
              </w:rPr>
              <w:t>Zurückweisung des Nachprüfungsantrags, hilfsweise Nachforderung konkreter Eignungsnachweise, weiter hilfsweise Gestattung einer kurzen Interimsfortführung.</w:t>
            </w:r>
          </w:p>
        </w:tc>
      </w:tr>
      <w:tr>
        <w:trPr>
          <w:cantSplit/>
        </w:trPr>
        <w:tc>
          <w:tcPr>
            <w:tcW w:type="dxa" w:w="2347"/>
            <w:vAlign w:val="top"/>
            <w:tcMar>
              <w:top w:w="60" w:type="dxa"/>
              <w:start w:w="90" w:type="dxa"/>
              <w:bottom w:w="60" w:type="dxa"/>
              <w:end w:w="90" w:type="dxa"/>
            </w:tcMar>
            <w:shd w:fill="F1F3F3"/>
          </w:tcPr>
          <w:p>
            <w:pPr>
              <w:keepLines/>
              <w:spacing w:after="0"/>
            </w:pPr>
            <w:r/>
            <w:r>
              <w:rPr>
                <w:rFonts w:ascii="Times New Roman" w:hAnsi="Times New Roman"/>
                <w:sz w:val="17"/>
              </w:rPr>
              <w:t>Erwerberin</w:t>
            </w:r>
          </w:p>
        </w:tc>
        <w:tc>
          <w:tcPr>
            <w:tcW w:type="dxa" w:w="6724"/>
            <w:vAlign w:val="top"/>
            <w:tcMar>
              <w:top w:w="60" w:type="dxa"/>
              <w:start w:w="90" w:type="dxa"/>
              <w:bottom w:w="60" w:type="dxa"/>
              <w:end w:w="90" w:type="dxa"/>
            </w:tcMar>
            <w:shd w:fill="F1F3F3"/>
          </w:tcPr>
          <w:p>
            <w:pPr>
              <w:keepLines/>
              <w:spacing w:after="0"/>
            </w:pPr>
            <w:r/>
            <w:r>
              <w:rPr>
                <w:rFonts w:ascii="Times New Roman" w:hAnsi="Times New Roman"/>
                <w:sz w:val="17"/>
              </w:rPr>
              <w:t>Beiladung, Zurückweisung, Feststellung der funktionalen Betriebskontinuität, hilfsweise Nachreichfrist.</w:t>
            </w:r>
          </w:p>
        </w:tc>
      </w:tr>
      <w:tr>
        <w:trPr>
          <w:cantSplit/>
        </w:trPr>
        <w:tc>
          <w:tcPr>
            <w:tcW w:type="dxa" w:w="2347"/>
            <w:vAlign w:val="top"/>
            <w:tcMar>
              <w:top w:w="60" w:type="dxa"/>
              <w:start w:w="90" w:type="dxa"/>
              <w:bottom w:w="60" w:type="dxa"/>
              <w:end w:w="90" w:type="dxa"/>
            </w:tcMar>
          </w:tcPr>
          <w:p>
            <w:pPr>
              <w:keepLines/>
              <w:spacing w:after="0"/>
            </w:pPr>
            <w:r/>
            <w:r>
              <w:rPr>
                <w:rFonts w:ascii="Times New Roman" w:hAnsi="Times New Roman"/>
                <w:sz w:val="17"/>
              </w:rPr>
              <w:t>Konkurrent</w:t>
            </w:r>
          </w:p>
        </w:tc>
        <w:tc>
          <w:tcPr>
            <w:tcW w:type="dxa" w:w="6724"/>
            <w:vAlign w:val="top"/>
            <w:tcMar>
              <w:top w:w="60" w:type="dxa"/>
              <w:start w:w="90" w:type="dxa"/>
              <w:bottom w:w="60" w:type="dxa"/>
              <w:end w:w="90" w:type="dxa"/>
            </w:tcMar>
          </w:tcPr>
          <w:p>
            <w:pPr>
              <w:keepLines/>
              <w:spacing w:after="0"/>
            </w:pPr>
            <w:r/>
            <w:r>
              <w:rPr>
                <w:rFonts w:ascii="Times New Roman" w:hAnsi="Times New Roman"/>
                <w:sz w:val="17"/>
              </w:rPr>
              <w:t>Untersagung des Erwerbereintritts, Feststellung wesentliche Änderung, Akteneinsicht, Interimsvergabe oder Neuausschreibung.</w:t>
            </w:r>
          </w:p>
        </w:tc>
      </w:tr>
    </w:tbl>
    <w:p>
      <w:pPr>
        <w:spacing w:after="0" w:before="40"/>
      </w:pPr>
    </w:p>
    <w:p>
      <w:pPr>
        <w:pStyle w:val="Heading1"/>
      </w:pPr>
      <w:r>
        <w:t>Belegcheck</w:t>
      </w:r>
    </w:p>
    <w:p>
      <w:r>
        <w:t>Vor jeder Zustimmung müssen mindestens vorliegen:</w:t>
      </w:r>
    </w:p>
    <w:p>
      <w:pPr>
        <w:pStyle w:val="ListNumber"/>
      </w:pPr>
      <w:r>
        <w:t>Insolvenzunterlage oder Planstand.</w:t>
      </w:r>
    </w:p>
    <w:p>
      <w:pPr>
        <w:pStyle w:val="ListNumber"/>
      </w:pPr>
      <w:r>
        <w:t>Erwerbs- oder Übertragungsvertrag mit Leistungsbezug.</w:t>
      </w:r>
    </w:p>
    <w:p>
      <w:pPr>
        <w:pStyle w:val="ListNumber"/>
      </w:pPr>
      <w:r>
        <w:t>Personal- und Betriebsmittelübergang.</w:t>
      </w:r>
    </w:p>
    <w:p>
      <w:pPr>
        <w:pStyle w:val="ListNumber"/>
      </w:pPr>
      <w:r>
        <w:t>Nachweis der ursprünglichen Eignungsanforderungen.</w:t>
      </w:r>
    </w:p>
    <w:p>
      <w:pPr>
        <w:pStyle w:val="ListNumber"/>
        <w:keepNext/>
        <w:keepLines/>
      </w:pPr>
      <w:r>
        <w:t>Erklärung, dass Preis, Laufzeit, Leistungsumfang und Risikoverteilung unverändert bleiben, sowie ein positionsgenaues Schwärzungskonzept für die Akteneinsicht vor der Vergabekammer.</w:t>
      </w:r>
    </w:p>
    <w:p>
      <w:pPr>
        <w:pStyle w:val="Heading1"/>
        <w:keepNext/>
        <w:keepLines/>
      </w:pPr>
      <w:r>
        <w:t>Freigaberegel und Stoppsignale</w:t>
      </w:r>
    </w:p>
    <w:p>
      <w:pPr>
        <w:keepNext/>
        <w:keepLines/>
      </w:pPr>
      <w:r>
        <w:t>Eine Fortführung ohne neues Vergabeverfahren wird nur empfohlen, wenn die Erwerberin in den leistungsprägenden Betriebsteil einrückt, die ursprünglichen Eignungsanforderungen erfüllt und neben dem Auftragnehmernamen keine weitere wesentliche Vertragsänderung eintritt. Die Freigabe ist zu versagen oder bis zur Klärung zurückzustellen, sobald einer der folgenden Befunde vorliegt:</w:t>
      </w:r>
    </w:p>
    <w:tbl>
      <w:tblPr>
        <w:tblStyle w:val="TableGrid"/>
        <w:tblW w:type="dxa" w:w="9071"/>
        <w:jc w:val="left"/>
        <w:tblLayout w:type="fixed"/>
        <w:tblLook w:firstColumn="1" w:firstRow="1" w:lastColumn="0" w:lastRow="0" w:noHBand="0" w:noVBand="1" w:val="04A0"/>
      </w:tblPr>
      <w:tblGrid>
        <w:gridCol w:w="3097"/>
        <w:gridCol w:w="2828"/>
        <w:gridCol w:w="3146"/>
      </w:tblGrid>
      <w:tr>
        <w:trPr>
          <w:tblHeader w:val="true"/>
          <w:cantSplit/>
        </w:trPr>
        <w:tc>
          <w:tcPr>
            <w:tcW w:type="dxa" w:w="3097"/>
            <w:vAlign w:val="top"/>
            <w:tcMar>
              <w:top w:w="60" w:type="dxa"/>
              <w:start w:w="90" w:type="dxa"/>
              <w:bottom w:w="60" w:type="dxa"/>
              <w:end w:w="90" w:type="dxa"/>
            </w:tcMar>
            <w:shd w:fill="01696F"/>
          </w:tcPr>
          <w:p>
            <w:pPr>
              <w:keepLines/>
              <w:spacing w:after="0"/>
            </w:pPr>
            <w:r/>
            <w:r>
              <w:rPr>
                <w:rFonts w:ascii="Times New Roman" w:hAnsi="Times New Roman"/>
                <w:b/>
                <w:color w:val="FFFFFF"/>
                <w:sz w:val="17"/>
              </w:rPr>
              <w:t>Stoppsignal</w:t>
            </w:r>
          </w:p>
        </w:tc>
        <w:tc>
          <w:tcPr>
            <w:tcW w:type="dxa" w:w="2828"/>
            <w:vAlign w:val="top"/>
            <w:tcMar>
              <w:top w:w="60" w:type="dxa"/>
              <w:start w:w="90" w:type="dxa"/>
              <w:bottom w:w="60" w:type="dxa"/>
              <w:end w:w="90" w:type="dxa"/>
            </w:tcMar>
            <w:shd w:fill="01696F"/>
          </w:tcPr>
          <w:p>
            <w:pPr>
              <w:keepLines/>
              <w:spacing w:after="0"/>
            </w:pPr>
            <w:r/>
            <w:r>
              <w:rPr>
                <w:rFonts w:ascii="Times New Roman" w:hAnsi="Times New Roman"/>
                <w:b/>
                <w:color w:val="FFFFFF"/>
                <w:sz w:val="17"/>
              </w:rPr>
              <w:t>offener Nachweis</w:t>
            </w:r>
          </w:p>
        </w:tc>
        <w:tc>
          <w:tcPr>
            <w:tcW w:type="dxa" w:w="3146"/>
            <w:vAlign w:val="top"/>
            <w:tcMar>
              <w:top w:w="60" w:type="dxa"/>
              <w:start w:w="90" w:type="dxa"/>
              <w:bottom w:w="60" w:type="dxa"/>
              <w:end w:w="90" w:type="dxa"/>
            </w:tcMar>
            <w:shd w:fill="01696F"/>
          </w:tcPr>
          <w:p>
            <w:pPr>
              <w:keepLines/>
              <w:spacing w:after="0"/>
            </w:pPr>
            <w:r/>
            <w:r>
              <w:rPr>
                <w:rFonts w:ascii="Times New Roman" w:hAnsi="Times New Roman"/>
                <w:b/>
                <w:color w:val="FFFFFF"/>
                <w:sz w:val="17"/>
              </w:rPr>
              <w:t>vorläufige Rechtsfolge</w:t>
            </w:r>
          </w:p>
        </w:tc>
      </w:tr>
      <w:tr>
        <w:trPr>
          <w:cantSplit/>
        </w:trPr>
        <w:tc>
          <w:tcPr>
            <w:tcW w:type="dxa" w:w="3097"/>
            <w:vAlign w:val="top"/>
            <w:tcMar>
              <w:top w:w="60" w:type="dxa"/>
              <w:start w:w="90" w:type="dxa"/>
              <w:bottom w:w="60" w:type="dxa"/>
              <w:end w:w="90" w:type="dxa"/>
            </w:tcMar>
          </w:tcPr>
          <w:p>
            <w:pPr>
              <w:keepLines/>
              <w:spacing w:after="0"/>
            </w:pPr>
            <w:r/>
            <w:r>
              <w:rPr>
                <w:rFonts w:ascii="Times New Roman" w:hAnsi="Times New Roman"/>
                <w:sz w:val="17"/>
              </w:rPr>
              <w:t>Übertragung beschränkt sich im Wesentlichen auf den öffentlichen Auftrag</w:t>
            </w:r>
          </w:p>
        </w:tc>
        <w:tc>
          <w:tcPr>
            <w:tcW w:type="dxa" w:w="2828"/>
            <w:vAlign w:val="top"/>
            <w:tcMar>
              <w:top w:w="60" w:type="dxa"/>
              <w:start w:w="90" w:type="dxa"/>
              <w:bottom w:w="60" w:type="dxa"/>
              <w:end w:w="90" w:type="dxa"/>
            </w:tcMar>
          </w:tcPr>
          <w:p>
            <w:pPr>
              <w:keepLines/>
              <w:spacing w:after="0"/>
            </w:pPr>
            <w:r/>
            <w:r>
              <w:rPr>
                <w:rFonts w:ascii="Times New Roman" w:hAnsi="Times New Roman"/>
                <w:sz w:val="17"/>
              </w:rPr>
              <w:t>Personal-, Asset- und Kundenübergang</w:t>
            </w:r>
          </w:p>
        </w:tc>
        <w:tc>
          <w:tcPr>
            <w:tcW w:type="dxa" w:w="3146"/>
            <w:vAlign w:val="top"/>
            <w:tcMar>
              <w:top w:w="60" w:type="dxa"/>
              <w:start w:w="90" w:type="dxa"/>
              <w:bottom w:w="60" w:type="dxa"/>
              <w:end w:w="90" w:type="dxa"/>
            </w:tcMar>
          </w:tcPr>
          <w:p>
            <w:pPr>
              <w:keepLines/>
              <w:spacing w:after="0"/>
            </w:pPr>
            <w:r/>
            <w:r>
              <w:rPr>
                <w:rFonts w:ascii="Times New Roman" w:hAnsi="Times New Roman"/>
                <w:sz w:val="17"/>
              </w:rPr>
              <w:t>Neuausschreibungspflicht vertieft prüfen</w:t>
            </w:r>
          </w:p>
        </w:tc>
      </w:tr>
      <w:tr>
        <w:trPr>
          <w:cantSplit/>
        </w:trPr>
        <w:tc>
          <w:tcPr>
            <w:tcW w:type="dxa" w:w="3097"/>
            <w:vAlign w:val="top"/>
            <w:tcMar>
              <w:top w:w="60" w:type="dxa"/>
              <w:start w:w="90" w:type="dxa"/>
              <w:bottom w:w="60" w:type="dxa"/>
              <w:end w:w="90" w:type="dxa"/>
            </w:tcMar>
            <w:shd w:fill="F1F3F3"/>
          </w:tcPr>
          <w:p>
            <w:pPr>
              <w:keepLines/>
              <w:spacing w:after="0"/>
            </w:pPr>
            <w:r/>
            <w:r>
              <w:rPr>
                <w:rFonts w:ascii="Times New Roman" w:hAnsi="Times New Roman"/>
                <w:sz w:val="17"/>
              </w:rPr>
              <w:t>Preis, Laufzeit oder Haftung werden zugunsten der Erwerberin geändert</w:t>
            </w:r>
          </w:p>
        </w:tc>
        <w:tc>
          <w:tcPr>
            <w:tcW w:type="dxa" w:w="2828"/>
            <w:vAlign w:val="top"/>
            <w:tcMar>
              <w:top w:w="60" w:type="dxa"/>
              <w:start w:w="90" w:type="dxa"/>
              <w:bottom w:w="60" w:type="dxa"/>
              <w:end w:w="90" w:type="dxa"/>
            </w:tcMar>
            <w:shd w:fill="F1F3F3"/>
          </w:tcPr>
          <w:p>
            <w:pPr>
              <w:keepLines/>
              <w:spacing w:after="0"/>
            </w:pPr>
            <w:r/>
            <w:r>
              <w:rPr>
                <w:rFonts w:ascii="Times New Roman" w:hAnsi="Times New Roman"/>
                <w:sz w:val="17"/>
              </w:rPr>
              <w:t>vollständige Vertragssynopse</w:t>
            </w:r>
          </w:p>
        </w:tc>
        <w:tc>
          <w:tcPr>
            <w:tcW w:type="dxa" w:w="3146"/>
            <w:vAlign w:val="top"/>
            <w:tcMar>
              <w:top w:w="60" w:type="dxa"/>
              <w:start w:w="90" w:type="dxa"/>
              <w:bottom w:w="60" w:type="dxa"/>
              <w:end w:w="90" w:type="dxa"/>
            </w:tcMar>
            <w:shd w:fill="F1F3F3"/>
          </w:tcPr>
          <w:p>
            <w:pPr>
              <w:keepLines/>
              <w:spacing w:after="0"/>
            </w:pPr>
            <w:r/>
            <w:r>
              <w:rPr>
                <w:rFonts w:ascii="Times New Roman" w:hAnsi="Times New Roman"/>
                <w:sz w:val="17"/>
              </w:rPr>
              <w:t>Änderungen abtrennen oder Gesamtvorgang neu bewerten</w:t>
            </w:r>
          </w:p>
        </w:tc>
      </w:tr>
      <w:tr>
        <w:trPr>
          <w:cantSplit/>
        </w:trPr>
        <w:tc>
          <w:tcPr>
            <w:tcW w:type="dxa" w:w="3097"/>
            <w:vAlign w:val="top"/>
            <w:tcMar>
              <w:top w:w="60" w:type="dxa"/>
              <w:start w:w="90" w:type="dxa"/>
              <w:bottom w:w="60" w:type="dxa"/>
              <w:end w:w="90" w:type="dxa"/>
            </w:tcMar>
          </w:tcPr>
          <w:p>
            <w:pPr>
              <w:keepLines/>
              <w:spacing w:after="0"/>
            </w:pPr>
            <w:r/>
            <w:r>
              <w:rPr>
                <w:rFonts w:ascii="Times New Roman" w:hAnsi="Times New Roman"/>
                <w:sz w:val="17"/>
              </w:rPr>
              <w:t>ursprüngliche Eignung ist nicht belastbar belegt</w:t>
            </w:r>
          </w:p>
        </w:tc>
        <w:tc>
          <w:tcPr>
            <w:tcW w:type="dxa" w:w="2828"/>
            <w:vAlign w:val="top"/>
            <w:tcMar>
              <w:top w:w="60" w:type="dxa"/>
              <w:start w:w="90" w:type="dxa"/>
              <w:bottom w:w="60" w:type="dxa"/>
              <w:end w:w="90" w:type="dxa"/>
            </w:tcMar>
          </w:tcPr>
          <w:p>
            <w:pPr>
              <w:keepLines/>
              <w:spacing w:after="0"/>
            </w:pPr>
            <w:r/>
            <w:r>
              <w:rPr>
                <w:rFonts w:ascii="Times New Roman" w:hAnsi="Times New Roman"/>
                <w:sz w:val="17"/>
              </w:rPr>
              <w:t>Register, Versicherung, Personal und Sicherheitsaudit</w:t>
            </w:r>
          </w:p>
        </w:tc>
        <w:tc>
          <w:tcPr>
            <w:tcW w:type="dxa" w:w="3146"/>
            <w:vAlign w:val="top"/>
            <w:tcMar>
              <w:top w:w="60" w:type="dxa"/>
              <w:start w:w="90" w:type="dxa"/>
              <w:bottom w:w="60" w:type="dxa"/>
              <w:end w:w="90" w:type="dxa"/>
            </w:tcMar>
          </w:tcPr>
          <w:p>
            <w:pPr>
              <w:keepLines/>
              <w:spacing w:after="0"/>
            </w:pPr>
            <w:r/>
            <w:r>
              <w:rPr>
                <w:rFonts w:ascii="Times New Roman" w:hAnsi="Times New Roman"/>
                <w:sz w:val="17"/>
              </w:rPr>
              <w:t>kein Vollzug bis zum positiven Recheck</w:t>
            </w:r>
          </w:p>
        </w:tc>
      </w:tr>
      <w:tr>
        <w:trPr>
          <w:cantSplit/>
        </w:trPr>
        <w:tc>
          <w:tcPr>
            <w:tcW w:type="dxa" w:w="3097"/>
            <w:vAlign w:val="top"/>
            <w:tcMar>
              <w:top w:w="60" w:type="dxa"/>
              <w:start w:w="90" w:type="dxa"/>
              <w:bottom w:w="60" w:type="dxa"/>
              <w:end w:w="90" w:type="dxa"/>
            </w:tcMar>
            <w:shd w:fill="F1F3F3"/>
          </w:tcPr>
          <w:p>
            <w:pPr>
              <w:keepLines/>
              <w:spacing w:after="0"/>
            </w:pPr>
            <w:r/>
            <w:r>
              <w:rPr>
                <w:rFonts w:ascii="Times New Roman" w:hAnsi="Times New Roman"/>
                <w:sz w:val="17"/>
              </w:rPr>
              <w:t>Betrieb droht vor Abschluss der Prüfung auszufallen</w:t>
            </w:r>
          </w:p>
        </w:tc>
        <w:tc>
          <w:tcPr>
            <w:tcW w:type="dxa" w:w="2828"/>
            <w:vAlign w:val="top"/>
            <w:tcMar>
              <w:top w:w="60" w:type="dxa"/>
              <w:start w:w="90" w:type="dxa"/>
              <w:bottom w:w="60" w:type="dxa"/>
              <w:end w:w="90" w:type="dxa"/>
            </w:tcMar>
            <w:shd w:fill="F1F3F3"/>
          </w:tcPr>
          <w:p>
            <w:pPr>
              <w:keepLines/>
              <w:spacing w:after="0"/>
            </w:pPr>
            <w:r/>
            <w:r>
              <w:rPr>
                <w:rFonts w:ascii="Times New Roman" w:hAnsi="Times New Roman"/>
                <w:sz w:val="17"/>
              </w:rPr>
              <w:t>dokumentierter Mindestbedarf und Marktansprache</w:t>
            </w:r>
          </w:p>
        </w:tc>
        <w:tc>
          <w:tcPr>
            <w:tcW w:type="dxa" w:w="3146"/>
            <w:vAlign w:val="top"/>
            <w:tcMar>
              <w:top w:w="60" w:type="dxa"/>
              <w:start w:w="90" w:type="dxa"/>
              <w:bottom w:w="60" w:type="dxa"/>
              <w:end w:w="90" w:type="dxa"/>
            </w:tcMar>
            <w:shd w:fill="F1F3F3"/>
          </w:tcPr>
          <w:p>
            <w:pPr>
              <w:keepLines/>
              <w:spacing w:after="0"/>
            </w:pPr>
            <w:r/>
            <w:r>
              <w:rPr>
                <w:rFonts w:ascii="Times New Roman" w:hAnsi="Times New Roman"/>
                <w:sz w:val="17"/>
              </w:rPr>
              <w:t>eng befristete Interimslösung getrennt entscheiden</w:t>
            </w:r>
          </w:p>
        </w:tc>
      </w:tr>
    </w:tbl>
    <w:p>
      <w:pPr>
        <w:spacing w:after="0" w:before="40"/>
      </w:pPr>
    </w:p>
    <w:p>
      <w:pPr>
        <w:keepLines/>
      </w:pPr>
      <w:r>
        <w:t>Vergabestelle und Rechtsamt zeichnen die Tatbestandsmatrix gemeinsam ab. Das Fachamt bestätigt gesondert, dass der Leistungskern tatsächlich mit Personal, Systemen und Verantwortlichkeiten übergeht; die Insolvenzunterlagen allein ersetzen diese Feststellung nicht.</w:t>
      </w:r>
    </w:p>
    <w:sectPr w:rsidR="00FC693F" w:rsidRPr="0006063C" w:rsidSect="00034616">
      <w:headerReference w:type="default" r:id="rId9"/>
      <w:footerReference w:type="default" r:id="rId10"/>
      <w:pgSz w:w="11906" w:h="16838"/>
      <w:pgMar w:top="1020" w:right="1417" w:bottom="935" w:left="1417" w:header="425" w:footer="425"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right"/>
    </w:pPr>
    <w:r>
      <w:rPr>
        <w:rFonts w:ascii="Times New Roman" w:hAnsi="Times New Roman"/>
        <w:color w:val="646464"/>
        <w:sz w:val="16"/>
      </w:rPr>
      <w:t>Aktenstück</w:t>
      <w:t xml:space="preserve">  |  HB-IT-SERVICE-2026</w:t>
      <w:t xml:space="preserve">  |  Seite </w:t>
    </w:r>
    <w:r>
      <w:rPr>
        <w:rFonts w:ascii="Times New Roman" w:hAnsi="Times New Roman"/>
        <w:color w:val="646464"/>
        <w:sz w:val="16"/>
      </w:rP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Times New Roman" w:hAnsi="Times New Roman"/>
        <w:color w:val="646464"/>
        <w:sz w:val="16"/>
      </w:rPr>
      <w:t>Stadt Hafenburg - Amt für Digitalisierung</w:t>
      <w:t xml:space="preserve">  |  HB-IT-SERVICE-2026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0" w:lineRule="auto"/>
    </w:pPr>
    <w:rPr>
      <w:rFonts w:ascii="Times New Roman" w:hAnsi="Times New Roman" w:eastAsia="Times New Roman"/>
      <w:b w:val="0"/>
      <w:color w:val="1F1F1F"/>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Times New Roman" w:hAnsi="Times New Roman" w:eastAsia="Times New Roman"/>
      <w:b/>
      <w:bCs/>
      <w:color w:val="01696F"/>
      <w:sz w:val="25"/>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Times New Roman" w:hAnsi="Times New Roman" w:eastAsia="Times New Roman"/>
      <w:b/>
      <w:bCs/>
      <w:color w:val="1F1F1F"/>
      <w:sz w:val="22"/>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Times New Roman" w:hAnsi="Times New Roman" w:eastAsia="Times New Roman"/>
      <w:b/>
      <w:bCs/>
      <w:color w:val="646464"/>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80" w:line="240" w:lineRule="auto" w:before="0"/>
      <w:contextualSpacing/>
    </w:pPr>
    <w:rPr>
      <w:rFonts w:asciiTheme="majorHAnsi" w:eastAsiaTheme="majorEastAsia" w:hAnsiTheme="majorHAnsi" w:cstheme="majorBidi" w:ascii="Times New Roman" w:hAnsi="Times New Roman" w:eastAsia="Times New Roman"/>
      <w:b/>
      <w:color w:val="01696F"/>
      <w:spacing w:val="5"/>
      <w:kern w:val="28"/>
      <w:sz w:val="2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contextualSpacing/>
    </w:pPr>
    <w:rPr>
      <w:rFonts w:ascii="Times New Roman" w:hAnsi="Times New Roman" w:eastAsia="Times New Roman"/>
      <w:b w:val="0"/>
      <w:color w:val="1F1F1F"/>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contextualSpacing/>
    </w:pPr>
    <w:rPr>
      <w:rFonts w:ascii="Times New Roman" w:hAnsi="Times New Roman" w:eastAsia="Times New Roman"/>
      <w:b w:val="0"/>
      <w:color w:val="1F1F1F"/>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xsi="http://www.w3.org/2001/XMLSchema-instance">
  <dc:title>Fallvarianten für Insolvenzplan, Asset Deal und Interimslösung</dc:title>
  <dc:subject>Interner Entscheidungsvermerk | Az. HB-IT-SERVICE-2026</dc:subject>
  <dc:creator>Stadt Hafenburg - Amt für Digitalisierung</dc:creator>
  <cp:keywords>Vergaberecht, HB-IT-SERVICE-2026, Interner Entscheidungsvermerk</cp:keywords>
  <dc:description>generated by python-docx</dc:description>
  <cp:lastModifiedBy>Stadt Hafenburg - Amt für Digitalisierung</cp:lastModifiedBy>
  <cp:revision>1</cp:revision>
  <dcterms:created xsi:type="dcterms:W3CDTF">2000-01-01T00:00:00Z</dcterms:created>
  <dcterms:modified xsi:type="dcterms:W3CDTF">2000-01-01T00:00:00Z</dcterms:modified>
  <cp:category>Vergabeakte</cp:category>
</cp:coreProperties>
</file>