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Hafenburg - Amt für Digitalisierung</w:t>
            </w:r>
          </w:p>
          <w:p>
            <w:pPr>
              <w:spacing w:after="0"/>
            </w:pPr>
            <w:r>
              <w:rPr>
                <w:color w:val="646464"/>
                <w:sz w:val="18"/>
              </w:rPr>
              <w:t>Hafenallee 12, 21079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09.11.2026</w:t>
              <w:br/>
            </w:r>
            <w:r>
              <w:rPr>
                <w:rFonts w:ascii="Times New Roman" w:hAnsi="Times New Roman"/>
                <w:color w:val="646464"/>
                <w:sz w:val="18"/>
              </w:rPr>
              <w:t>Aktenzeichen: HB-IT-SERVICE-2026</w:t>
              <w:br/>
            </w:r>
            <w:r>
              <w:rPr>
                <w:rFonts w:ascii="Times New Roman" w:hAnsi="Times New Roman"/>
                <w:color w:val="646464"/>
                <w:sz w:val="18"/>
              </w:rPr>
              <w:t>Markt- und Interimsprüfungsvermerk</w:t>
            </w:r>
          </w:p>
        </w:tc>
      </w:tr>
    </w:tbl>
    <w:p>
      <w:pPr>
        <w:spacing w:before="200" w:after="40"/>
      </w:pPr>
      <w:r>
        <w:rPr>
          <w:rFonts w:ascii="Times New Roman" w:hAnsi="Times New Roman"/>
          <w:color w:val="646464"/>
          <w:sz w:val="15"/>
        </w:rPr>
        <w:t>Stadt Hafenburg - Amt für Digitalisierung · Hafenallee 12, 21079 Hafenburg</w:t>
      </w:r>
    </w:p>
    <w:p>
      <w:pPr>
        <w:spacing w:after="240"/>
      </w:pPr>
      <w:r>
        <w:t>Zentrale Vergabestelle und Rechtsamt</w:t>
      </w:r>
    </w:p>
    <w:p>
      <w:pPr>
        <w:pStyle w:val="Title"/>
      </w:pPr>
      <w:r>
        <w:t>Betriebsrisiko, Marktverfügbarkeit und eng befristete Interimssicherung</w:t>
      </w:r>
    </w:p>
    <w:p>
      <w:pPr>
        <w:pStyle w:val="Heading1"/>
      </w:pPr>
      <w:r>
        <w:t>Akute Lage</w:t>
      </w:r>
    </w:p>
    <w:p>
      <w:r>
        <w:t>Ohne Betriebsunterstützung können ab 18.11.2026 sicherheitsrelevante Patches, Störungsannahme und Datenbankwiederherstellung nicht durchgehend gewährleistet werden. Betroffen sind Meldewesen, Gewerbe, Kasse und Jugendhilfe. Die Stadt trennt deshalb drei Entscheidungen: Auftragnehmerwechsel im Bestandsvertrag, kurzfristige Gefahrenabwehr und langfristige Beschaffung.</w:t>
      </w:r>
    </w:p>
    <w:p>
      <w:pPr>
        <w:pStyle w:val="Heading1"/>
      </w:pPr>
      <w:r>
        <w:t>Marktabfrage</w:t>
      </w:r>
    </w:p>
    <w:p>
      <w:r>
        <w:t>Am 05. und 06.11.2026 wurden fünf geeignete Anbieter mit einem identischen Kurzleistungsbild kontaktiert. Die Abfrage enthielt keine vertraulichen Daten der bisherigen Auftragnehmerin.</w:t>
      </w:r>
    </w:p>
    <w:tbl>
      <w:tblPr>
        <w:tblStyle w:val="TableGrid"/>
        <w:tblW w:type="dxa" w:w="9071"/>
        <w:jc w:val="left"/>
        <w:tblLayout w:type="fixed"/>
        <w:tblLook w:firstColumn="1" w:firstRow="1" w:lastColumn="0" w:lastRow="0" w:noHBand="0" w:noVBand="1" w:val="04A0"/>
      </w:tblPr>
      <w:tblGrid>
        <w:gridCol w:w="1590"/>
        <w:gridCol w:w="1590"/>
        <w:gridCol w:w="1291"/>
        <w:gridCol w:w="1344"/>
        <w:gridCol w:w="1344"/>
        <w:gridCol w:w="1912"/>
      </w:tblGrid>
      <w:tr>
        <w:trPr>
          <w:tblHeader w:val="true"/>
          <w:cantSplit/>
        </w:trPr>
        <w:tc>
          <w:tcPr>
            <w:tcW w:type="dxa" w:w="1590"/>
            <w:vAlign w:val="top"/>
            <w:tcMar>
              <w:top w:w="60" w:type="dxa"/>
              <w:start w:w="90" w:type="dxa"/>
              <w:bottom w:w="60" w:type="dxa"/>
              <w:end w:w="90" w:type="dxa"/>
            </w:tcMar>
            <w:shd w:fill="01696F"/>
          </w:tcPr>
          <w:p>
            <w:pPr>
              <w:keepLines/>
              <w:spacing w:after="0"/>
            </w:pPr>
            <w:r/>
            <w:r>
              <w:rPr>
                <w:rFonts w:ascii="Times New Roman" w:hAnsi="Times New Roman"/>
                <w:b/>
                <w:color w:val="FFFFFF"/>
                <w:sz w:val="17"/>
              </w:rPr>
              <w:t>Unternehmen</w:t>
            </w:r>
          </w:p>
        </w:tc>
        <w:tc>
          <w:tcPr>
            <w:tcW w:type="dxa" w:w="1590"/>
            <w:vAlign w:val="top"/>
            <w:tcMar>
              <w:top w:w="60" w:type="dxa"/>
              <w:start w:w="90" w:type="dxa"/>
              <w:bottom w:w="60" w:type="dxa"/>
              <w:end w:w="90" w:type="dxa"/>
            </w:tcMar>
            <w:shd w:fill="01696F"/>
          </w:tcPr>
          <w:p>
            <w:pPr>
              <w:keepLines/>
              <w:spacing w:after="0"/>
            </w:pPr>
            <w:r/>
            <w:r>
              <w:rPr>
                <w:rFonts w:ascii="Times New Roman" w:hAnsi="Times New Roman"/>
                <w:b/>
                <w:color w:val="FFFFFF"/>
                <w:sz w:val="17"/>
              </w:rPr>
              <w:t>frühester Betriebsbeginn</w:t>
            </w:r>
          </w:p>
        </w:tc>
        <w:tc>
          <w:tcPr>
            <w:tcW w:type="dxa" w:w="1291"/>
            <w:vAlign w:val="top"/>
            <w:tcMar>
              <w:top w:w="60" w:type="dxa"/>
              <w:start w:w="90" w:type="dxa"/>
              <w:bottom w:w="60" w:type="dxa"/>
              <w:end w:w="90" w:type="dxa"/>
            </w:tcMar>
            <w:shd w:fill="01696F"/>
          </w:tcPr>
          <w:p>
            <w:pPr>
              <w:keepLines/>
              <w:spacing w:after="0"/>
            </w:pPr>
            <w:r/>
            <w:r>
              <w:rPr>
                <w:rFonts w:ascii="Times New Roman" w:hAnsi="Times New Roman"/>
                <w:b/>
                <w:color w:val="FFFFFF"/>
                <w:sz w:val="17"/>
              </w:rPr>
              <w:t>Übernahme 24/7</w:t>
            </w:r>
          </w:p>
        </w:tc>
        <w:tc>
          <w:tcPr>
            <w:tcW w:type="dxa" w:w="1344"/>
            <w:vAlign w:val="top"/>
            <w:tcMar>
              <w:top w:w="60" w:type="dxa"/>
              <w:start w:w="90" w:type="dxa"/>
              <w:bottom w:w="60" w:type="dxa"/>
              <w:end w:w="90" w:type="dxa"/>
            </w:tcMar>
            <w:shd w:fill="01696F"/>
          </w:tcPr>
          <w:p>
            <w:pPr>
              <w:keepLines/>
              <w:spacing w:after="0"/>
            </w:pPr>
            <w:r/>
            <w:r>
              <w:rPr>
                <w:rFonts w:ascii="Times New Roman" w:hAnsi="Times New Roman"/>
                <w:b/>
                <w:color w:val="FFFFFF"/>
                <w:sz w:val="17"/>
              </w:rPr>
              <w:t>Einmalaufwand netto</w:t>
            </w:r>
          </w:p>
        </w:tc>
        <w:tc>
          <w:tcPr>
            <w:tcW w:type="dxa" w:w="1344"/>
            <w:vAlign w:val="top"/>
            <w:tcMar>
              <w:top w:w="60" w:type="dxa"/>
              <w:start w:w="90" w:type="dxa"/>
              <w:bottom w:w="60" w:type="dxa"/>
              <w:end w:w="90" w:type="dxa"/>
            </w:tcMar>
            <w:shd w:fill="01696F"/>
          </w:tcPr>
          <w:p>
            <w:pPr>
              <w:keepLines/>
              <w:spacing w:after="0"/>
            </w:pPr>
            <w:r/>
            <w:r>
              <w:rPr>
                <w:rFonts w:ascii="Times New Roman" w:hAnsi="Times New Roman"/>
                <w:b/>
                <w:color w:val="FFFFFF"/>
                <w:sz w:val="17"/>
              </w:rPr>
              <w:t>Monatsentgelt netto</w:t>
            </w:r>
          </w:p>
        </w:tc>
        <w:tc>
          <w:tcPr>
            <w:tcW w:type="dxa" w:w="1912"/>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Vorbehalt</w:t>
            </w:r>
          </w:p>
        </w:tc>
      </w:tr>
      <w:tr>
        <w:trPr>
          <w:cantSplit/>
        </w:trPr>
        <w:tc>
          <w:tcPr>
            <w:tcW w:type="dxa" w:w="1590"/>
            <w:vAlign w:val="top"/>
            <w:tcMar>
              <w:top w:w="60" w:type="dxa"/>
              <w:start w:w="90" w:type="dxa"/>
              <w:bottom w:w="60" w:type="dxa"/>
              <w:end w:w="90" w:type="dxa"/>
            </w:tcMar>
          </w:tcPr>
          <w:p>
            <w:pPr>
              <w:keepLines/>
              <w:spacing w:after="0"/>
            </w:pPr>
            <w:r/>
            <w:r>
              <w:rPr>
                <w:rFonts w:ascii="Times New Roman" w:hAnsi="Times New Roman"/>
                <w:sz w:val="17"/>
              </w:rPr>
              <w:t>NordSys Betriebserwerber</w:t>
            </w:r>
          </w:p>
        </w:tc>
        <w:tc>
          <w:tcPr>
            <w:tcW w:type="dxa" w:w="1590"/>
            <w:vAlign w:val="top"/>
            <w:tcMar>
              <w:top w:w="60" w:type="dxa"/>
              <w:start w:w="90" w:type="dxa"/>
              <w:bottom w:w="60" w:type="dxa"/>
              <w:end w:w="90" w:type="dxa"/>
            </w:tcMar>
          </w:tcPr>
          <w:p>
            <w:pPr>
              <w:keepLines/>
              <w:spacing w:after="0"/>
            </w:pPr>
            <w:r/>
            <w:r>
              <w:rPr>
                <w:rFonts w:ascii="Times New Roman" w:hAnsi="Times New Roman"/>
                <w:sz w:val="17"/>
              </w:rPr>
              <w:t>11.11.2026</w:t>
            </w:r>
          </w:p>
        </w:tc>
        <w:tc>
          <w:tcPr>
            <w:tcW w:type="dxa" w:w="1291"/>
            <w:vAlign w:val="top"/>
            <w:tcMar>
              <w:top w:w="60" w:type="dxa"/>
              <w:start w:w="90" w:type="dxa"/>
              <w:bottom w:w="60" w:type="dxa"/>
              <w:end w:w="90" w:type="dxa"/>
            </w:tcMar>
          </w:tcPr>
          <w:p>
            <w:pPr>
              <w:keepLines/>
              <w:spacing w:after="0"/>
            </w:pPr>
            <w:r/>
            <w:r>
              <w:rPr>
                <w:rFonts w:ascii="Times New Roman" w:hAnsi="Times New Roman"/>
                <w:sz w:val="17"/>
              </w:rPr>
              <w:t>ja</w:t>
            </w:r>
          </w:p>
        </w:tc>
        <w:tc>
          <w:tcPr>
            <w:tcW w:type="dxa" w:w="1344"/>
            <w:vAlign w:val="top"/>
            <w:tcMar>
              <w:top w:w="60" w:type="dxa"/>
              <w:start w:w="90" w:type="dxa"/>
              <w:bottom w:w="60" w:type="dxa"/>
              <w:end w:w="90" w:type="dxa"/>
            </w:tcMar>
          </w:tcPr>
          <w:p>
            <w:pPr>
              <w:keepLines/>
              <w:spacing w:after="0"/>
            </w:pPr>
            <w:r/>
            <w:r>
              <w:rPr>
                <w:rFonts w:ascii="Times New Roman" w:hAnsi="Times New Roman"/>
                <w:sz w:val="17"/>
              </w:rPr>
              <w:t>24.000 EUR</w:t>
            </w:r>
          </w:p>
        </w:tc>
        <w:tc>
          <w:tcPr>
            <w:tcW w:type="dxa" w:w="1344"/>
            <w:vAlign w:val="top"/>
            <w:tcMar>
              <w:top w:w="60" w:type="dxa"/>
              <w:start w:w="90" w:type="dxa"/>
              <w:bottom w:w="60" w:type="dxa"/>
              <w:end w:w="90" w:type="dxa"/>
            </w:tcMar>
          </w:tcPr>
          <w:p>
            <w:pPr>
              <w:keepLines/>
              <w:spacing w:after="0"/>
            </w:pPr>
            <w:r/>
            <w:r>
              <w:rPr>
                <w:rFonts w:ascii="Times New Roman" w:hAnsi="Times New Roman"/>
                <w:sz w:val="17"/>
              </w:rPr>
              <w:t>Bestandsentgelt</w:t>
            </w:r>
          </w:p>
        </w:tc>
        <w:tc>
          <w:tcPr>
            <w:tcW w:type="dxa" w:w="1912"/>
            <w:vAlign w:val="top"/>
            <w:tcMar>
              <w:top w:w="60" w:type="dxa"/>
              <w:start w:w="90" w:type="dxa"/>
              <w:bottom w:w="60" w:type="dxa"/>
              <w:end w:w="90" w:type="dxa"/>
            </w:tcMar>
          </w:tcPr>
          <w:p>
            <w:pPr>
              <w:keepLines/>
              <w:spacing w:after="0"/>
            </w:pPr>
            <w:r/>
            <w:r>
              <w:rPr>
                <w:rFonts w:ascii="Times New Roman" w:hAnsi="Times New Roman"/>
                <w:sz w:val="17"/>
              </w:rPr>
              <w:t>Zustimmung zum Vertragsübergang</w:t>
            </w:r>
          </w:p>
        </w:tc>
      </w:tr>
      <w:tr>
        <w:trPr>
          <w:cantSplit/>
        </w:trPr>
        <w:tc>
          <w:tcPr>
            <w:tcW w:type="dxa" w:w="1590"/>
            <w:vAlign w:val="top"/>
            <w:tcMar>
              <w:top w:w="60" w:type="dxa"/>
              <w:start w:w="90" w:type="dxa"/>
              <w:bottom w:w="60" w:type="dxa"/>
              <w:end w:w="90" w:type="dxa"/>
            </w:tcMar>
            <w:shd w:fill="F1F3F3"/>
          </w:tcPr>
          <w:p>
            <w:pPr>
              <w:keepLines/>
              <w:spacing w:after="0"/>
            </w:pPr>
            <w:r/>
            <w:r>
              <w:rPr>
                <w:rFonts w:ascii="Times New Roman" w:hAnsi="Times New Roman"/>
                <w:sz w:val="17"/>
              </w:rPr>
              <w:t>DataPortus</w:t>
            </w:r>
          </w:p>
        </w:tc>
        <w:tc>
          <w:tcPr>
            <w:tcW w:type="dxa" w:w="1590"/>
            <w:vAlign w:val="top"/>
            <w:tcMar>
              <w:top w:w="60" w:type="dxa"/>
              <w:start w:w="90" w:type="dxa"/>
              <w:bottom w:w="60" w:type="dxa"/>
              <w:end w:w="90" w:type="dxa"/>
            </w:tcMar>
            <w:shd w:fill="F1F3F3"/>
          </w:tcPr>
          <w:p>
            <w:pPr>
              <w:keepLines/>
              <w:spacing w:after="0"/>
            </w:pPr>
            <w:r/>
            <w:r>
              <w:rPr>
                <w:rFonts w:ascii="Times New Roman" w:hAnsi="Times New Roman"/>
                <w:sz w:val="17"/>
              </w:rPr>
              <w:t>01.12.2026</w:t>
            </w:r>
          </w:p>
        </w:tc>
        <w:tc>
          <w:tcPr>
            <w:tcW w:type="dxa" w:w="1291"/>
            <w:vAlign w:val="top"/>
            <w:tcMar>
              <w:top w:w="60" w:type="dxa"/>
              <w:start w:w="90" w:type="dxa"/>
              <w:bottom w:w="60" w:type="dxa"/>
              <w:end w:w="90" w:type="dxa"/>
            </w:tcMar>
            <w:shd w:fill="F1F3F3"/>
          </w:tcPr>
          <w:p>
            <w:pPr>
              <w:keepLines/>
              <w:spacing w:after="0"/>
            </w:pPr>
            <w:r/>
            <w:r>
              <w:rPr>
                <w:rFonts w:ascii="Times New Roman" w:hAnsi="Times New Roman"/>
                <w:sz w:val="17"/>
              </w:rPr>
              <w:t>ja</w:t>
            </w:r>
          </w:p>
        </w:tc>
        <w:tc>
          <w:tcPr>
            <w:tcW w:type="dxa" w:w="1344"/>
            <w:vAlign w:val="top"/>
            <w:tcMar>
              <w:top w:w="60" w:type="dxa"/>
              <w:start w:w="90" w:type="dxa"/>
              <w:bottom w:w="60" w:type="dxa"/>
              <w:end w:w="90" w:type="dxa"/>
            </w:tcMar>
            <w:shd w:fill="F1F3F3"/>
          </w:tcPr>
          <w:p>
            <w:pPr>
              <w:keepLines/>
              <w:spacing w:after="0"/>
            </w:pPr>
            <w:r/>
            <w:r>
              <w:rPr>
                <w:rFonts w:ascii="Times New Roman" w:hAnsi="Times New Roman"/>
                <w:sz w:val="17"/>
              </w:rPr>
              <w:t>148.000 EUR</w:t>
            </w:r>
          </w:p>
        </w:tc>
        <w:tc>
          <w:tcPr>
            <w:tcW w:type="dxa" w:w="1344"/>
            <w:vAlign w:val="top"/>
            <w:tcMar>
              <w:top w:w="60" w:type="dxa"/>
              <w:start w:w="90" w:type="dxa"/>
              <w:bottom w:w="60" w:type="dxa"/>
              <w:end w:w="90" w:type="dxa"/>
            </w:tcMar>
            <w:shd w:fill="F1F3F3"/>
          </w:tcPr>
          <w:p>
            <w:pPr>
              <w:keepLines/>
              <w:spacing w:after="0"/>
            </w:pPr>
            <w:r/>
            <w:r>
              <w:rPr>
                <w:rFonts w:ascii="Times New Roman" w:hAnsi="Times New Roman"/>
                <w:sz w:val="17"/>
              </w:rPr>
              <w:t>96.000 EUR</w:t>
            </w:r>
          </w:p>
        </w:tc>
        <w:tc>
          <w:tcPr>
            <w:tcW w:type="dxa" w:w="1912"/>
            <w:vAlign w:val="top"/>
            <w:tcMar>
              <w:top w:w="60" w:type="dxa"/>
              <w:start w:w="90" w:type="dxa"/>
              <w:bottom w:w="60" w:type="dxa"/>
              <w:end w:w="90" w:type="dxa"/>
            </w:tcMar>
            <w:shd w:fill="F1F3F3"/>
          </w:tcPr>
          <w:p>
            <w:pPr>
              <w:keepLines/>
              <w:spacing w:after="0"/>
            </w:pPr>
            <w:r/>
            <w:r>
              <w:rPr>
                <w:rFonts w:ascii="Times New Roman" w:hAnsi="Times New Roman"/>
                <w:sz w:val="17"/>
              </w:rPr>
              <w:t>vierwöchige Transition</w:t>
            </w:r>
          </w:p>
        </w:tc>
      </w:tr>
      <w:tr>
        <w:trPr>
          <w:cantSplit/>
        </w:trPr>
        <w:tc>
          <w:tcPr>
            <w:tcW w:type="dxa" w:w="1590"/>
            <w:vAlign w:val="top"/>
            <w:tcMar>
              <w:top w:w="60" w:type="dxa"/>
              <w:start w:w="90" w:type="dxa"/>
              <w:bottom w:w="60" w:type="dxa"/>
              <w:end w:w="90" w:type="dxa"/>
            </w:tcMar>
          </w:tcPr>
          <w:p>
            <w:pPr>
              <w:keepLines/>
              <w:spacing w:after="0"/>
            </w:pPr>
            <w:r/>
            <w:r>
              <w:rPr>
                <w:rFonts w:ascii="Times New Roman" w:hAnsi="Times New Roman"/>
                <w:sz w:val="17"/>
              </w:rPr>
              <w:t>KommunalCloud Süd</w:t>
            </w:r>
          </w:p>
        </w:tc>
        <w:tc>
          <w:tcPr>
            <w:tcW w:type="dxa" w:w="1590"/>
            <w:vAlign w:val="top"/>
            <w:tcMar>
              <w:top w:w="60" w:type="dxa"/>
              <w:start w:w="90" w:type="dxa"/>
              <w:bottom w:w="60" w:type="dxa"/>
              <w:end w:w="90" w:type="dxa"/>
            </w:tcMar>
          </w:tcPr>
          <w:p>
            <w:pPr>
              <w:keepLines/>
              <w:spacing w:after="0"/>
            </w:pPr>
            <w:r/>
            <w:r>
              <w:rPr>
                <w:rFonts w:ascii="Times New Roman" w:hAnsi="Times New Roman"/>
                <w:sz w:val="17"/>
              </w:rPr>
              <w:t>15.12.2026</w:t>
            </w:r>
          </w:p>
        </w:tc>
        <w:tc>
          <w:tcPr>
            <w:tcW w:type="dxa" w:w="1291"/>
            <w:vAlign w:val="top"/>
            <w:tcMar>
              <w:top w:w="60" w:type="dxa"/>
              <w:start w:w="90" w:type="dxa"/>
              <w:bottom w:w="60" w:type="dxa"/>
              <w:end w:w="90" w:type="dxa"/>
            </w:tcMar>
          </w:tcPr>
          <w:p>
            <w:pPr>
              <w:keepLines/>
              <w:spacing w:after="0"/>
            </w:pPr>
            <w:r/>
            <w:r>
              <w:rPr>
                <w:rFonts w:ascii="Times New Roman" w:hAnsi="Times New Roman"/>
                <w:sz w:val="17"/>
              </w:rPr>
              <w:t>eingeschränkt</w:t>
            </w:r>
          </w:p>
        </w:tc>
        <w:tc>
          <w:tcPr>
            <w:tcW w:type="dxa" w:w="1344"/>
            <w:vAlign w:val="top"/>
            <w:tcMar>
              <w:top w:w="60" w:type="dxa"/>
              <w:start w:w="90" w:type="dxa"/>
              <w:bottom w:w="60" w:type="dxa"/>
              <w:end w:w="90" w:type="dxa"/>
            </w:tcMar>
          </w:tcPr>
          <w:p>
            <w:pPr>
              <w:keepLines/>
              <w:spacing w:after="0"/>
            </w:pPr>
            <w:r/>
            <w:r>
              <w:rPr>
                <w:rFonts w:ascii="Times New Roman" w:hAnsi="Times New Roman"/>
                <w:sz w:val="17"/>
              </w:rPr>
              <w:t>122.000 EUR</w:t>
            </w:r>
          </w:p>
        </w:tc>
        <w:tc>
          <w:tcPr>
            <w:tcW w:type="dxa" w:w="1344"/>
            <w:vAlign w:val="top"/>
            <w:tcMar>
              <w:top w:w="60" w:type="dxa"/>
              <w:start w:w="90" w:type="dxa"/>
              <w:bottom w:w="60" w:type="dxa"/>
              <w:end w:w="90" w:type="dxa"/>
            </w:tcMar>
          </w:tcPr>
          <w:p>
            <w:pPr>
              <w:keepLines/>
              <w:spacing w:after="0"/>
            </w:pPr>
            <w:r/>
            <w:r>
              <w:rPr>
                <w:rFonts w:ascii="Times New Roman" w:hAnsi="Times New Roman"/>
                <w:sz w:val="17"/>
              </w:rPr>
              <w:t>89.000 EUR</w:t>
            </w:r>
          </w:p>
        </w:tc>
        <w:tc>
          <w:tcPr>
            <w:tcW w:type="dxa" w:w="1912"/>
            <w:vAlign w:val="top"/>
            <w:tcMar>
              <w:top w:w="60" w:type="dxa"/>
              <w:start w:w="90" w:type="dxa"/>
              <w:bottom w:w="60" w:type="dxa"/>
              <w:end w:w="90" w:type="dxa"/>
            </w:tcMar>
          </w:tcPr>
          <w:p>
            <w:pPr>
              <w:keepLines/>
              <w:spacing w:after="0"/>
            </w:pPr>
            <w:r/>
            <w:r>
              <w:rPr>
                <w:rFonts w:ascii="Times New Roman" w:hAnsi="Times New Roman"/>
                <w:sz w:val="17"/>
              </w:rPr>
              <w:t>Datenbankmodul ausgenommen</w:t>
            </w:r>
          </w:p>
        </w:tc>
      </w:tr>
      <w:tr>
        <w:trPr>
          <w:cantSplit/>
        </w:trPr>
        <w:tc>
          <w:tcPr>
            <w:tcW w:type="dxa" w:w="1590"/>
            <w:vAlign w:val="top"/>
            <w:tcMar>
              <w:top w:w="60" w:type="dxa"/>
              <w:start w:w="90" w:type="dxa"/>
              <w:bottom w:w="60" w:type="dxa"/>
              <w:end w:w="90" w:type="dxa"/>
            </w:tcMar>
            <w:shd w:fill="F1F3F3"/>
          </w:tcPr>
          <w:p>
            <w:pPr>
              <w:keepLines/>
              <w:spacing w:after="0"/>
            </w:pPr>
            <w:r/>
            <w:r>
              <w:rPr>
                <w:rFonts w:ascii="Times New Roman" w:hAnsi="Times New Roman"/>
                <w:sz w:val="17"/>
              </w:rPr>
              <w:t>HanseIT Betrieb</w:t>
            </w:r>
          </w:p>
        </w:tc>
        <w:tc>
          <w:tcPr>
            <w:tcW w:type="dxa" w:w="1590"/>
            <w:vAlign w:val="top"/>
            <w:tcMar>
              <w:top w:w="60" w:type="dxa"/>
              <w:start w:w="90" w:type="dxa"/>
              <w:bottom w:w="60" w:type="dxa"/>
              <w:end w:w="90" w:type="dxa"/>
            </w:tcMar>
            <w:shd w:fill="F1F3F3"/>
          </w:tcPr>
          <w:p>
            <w:pPr>
              <w:keepLines/>
              <w:spacing w:after="0"/>
            </w:pPr>
            <w:r/>
            <w:r>
              <w:rPr>
                <w:rFonts w:ascii="Times New Roman" w:hAnsi="Times New Roman"/>
                <w:sz w:val="17"/>
              </w:rPr>
              <w:t>04.01.2027</w:t>
            </w:r>
          </w:p>
        </w:tc>
        <w:tc>
          <w:tcPr>
            <w:tcW w:type="dxa" w:w="1291"/>
            <w:vAlign w:val="top"/>
            <w:tcMar>
              <w:top w:w="60" w:type="dxa"/>
              <w:start w:w="90" w:type="dxa"/>
              <w:bottom w:w="60" w:type="dxa"/>
              <w:end w:w="90" w:type="dxa"/>
            </w:tcMar>
            <w:shd w:fill="F1F3F3"/>
          </w:tcPr>
          <w:p>
            <w:pPr>
              <w:keepLines/>
              <w:spacing w:after="0"/>
            </w:pPr>
            <w:r/>
            <w:r>
              <w:rPr>
                <w:rFonts w:ascii="Times New Roman" w:hAnsi="Times New Roman"/>
                <w:sz w:val="17"/>
              </w:rPr>
              <w:t>ja</w:t>
            </w:r>
          </w:p>
        </w:tc>
        <w:tc>
          <w:tcPr>
            <w:tcW w:type="dxa" w:w="1344"/>
            <w:vAlign w:val="top"/>
            <w:tcMar>
              <w:top w:w="60" w:type="dxa"/>
              <w:start w:w="90" w:type="dxa"/>
              <w:bottom w:w="60" w:type="dxa"/>
              <w:end w:w="90" w:type="dxa"/>
            </w:tcMar>
            <w:shd w:fill="F1F3F3"/>
          </w:tcPr>
          <w:p>
            <w:pPr>
              <w:keepLines/>
              <w:spacing w:after="0"/>
            </w:pPr>
            <w:r/>
            <w:r>
              <w:rPr>
                <w:rFonts w:ascii="Times New Roman" w:hAnsi="Times New Roman"/>
                <w:sz w:val="17"/>
              </w:rPr>
              <w:t>171.000 EUR</w:t>
            </w:r>
          </w:p>
        </w:tc>
        <w:tc>
          <w:tcPr>
            <w:tcW w:type="dxa" w:w="1344"/>
            <w:vAlign w:val="top"/>
            <w:tcMar>
              <w:top w:w="60" w:type="dxa"/>
              <w:start w:w="90" w:type="dxa"/>
              <w:bottom w:w="60" w:type="dxa"/>
              <w:end w:w="90" w:type="dxa"/>
            </w:tcMar>
            <w:shd w:fill="F1F3F3"/>
          </w:tcPr>
          <w:p>
            <w:pPr>
              <w:keepLines/>
              <w:spacing w:after="0"/>
            </w:pPr>
            <w:r/>
            <w:r>
              <w:rPr>
                <w:rFonts w:ascii="Times New Roman" w:hAnsi="Times New Roman"/>
                <w:sz w:val="17"/>
              </w:rPr>
              <w:t>91.500 EUR</w:t>
            </w:r>
          </w:p>
        </w:tc>
        <w:tc>
          <w:tcPr>
            <w:tcW w:type="dxa" w:w="1912"/>
            <w:vAlign w:val="top"/>
            <w:tcMar>
              <w:top w:w="60" w:type="dxa"/>
              <w:start w:w="90" w:type="dxa"/>
              <w:bottom w:w="60" w:type="dxa"/>
              <w:end w:w="90" w:type="dxa"/>
            </w:tcMar>
            <w:shd w:fill="F1F3F3"/>
          </w:tcPr>
          <w:p>
            <w:pPr>
              <w:keepLines/>
              <w:spacing w:after="0"/>
            </w:pPr>
            <w:r/>
            <w:r>
              <w:rPr>
                <w:rFonts w:ascii="Times New Roman" w:hAnsi="Times New Roman"/>
                <w:sz w:val="17"/>
              </w:rPr>
              <w:t>Sicherheitsprüfung erforderlich</w:t>
            </w:r>
          </w:p>
        </w:tc>
      </w:tr>
      <w:tr>
        <w:trPr>
          <w:cantSplit/>
        </w:trPr>
        <w:tc>
          <w:tcPr>
            <w:tcW w:type="dxa" w:w="1590"/>
            <w:vAlign w:val="top"/>
            <w:tcMar>
              <w:top w:w="60" w:type="dxa"/>
              <w:start w:w="90" w:type="dxa"/>
              <w:bottom w:w="60" w:type="dxa"/>
              <w:end w:w="90" w:type="dxa"/>
            </w:tcMar>
          </w:tcPr>
          <w:p>
            <w:pPr>
              <w:keepLines/>
              <w:spacing w:after="0"/>
            </w:pPr>
            <w:r/>
            <w:r>
              <w:rPr>
                <w:rFonts w:ascii="Times New Roman" w:hAnsi="Times New Roman"/>
                <w:sz w:val="17"/>
              </w:rPr>
              <w:t>RegioSysteme</w:t>
            </w:r>
          </w:p>
        </w:tc>
        <w:tc>
          <w:tcPr>
            <w:tcW w:type="dxa" w:w="1590"/>
            <w:vAlign w:val="top"/>
            <w:tcMar>
              <w:top w:w="60" w:type="dxa"/>
              <w:start w:w="90" w:type="dxa"/>
              <w:bottom w:w="60" w:type="dxa"/>
              <w:end w:w="90" w:type="dxa"/>
            </w:tcMar>
          </w:tcPr>
          <w:p>
            <w:pPr>
              <w:keepLines/>
              <w:spacing w:after="0"/>
            </w:pPr>
            <w:r/>
            <w:r>
              <w:rPr>
                <w:rFonts w:ascii="Times New Roman" w:hAnsi="Times New Roman"/>
                <w:sz w:val="17"/>
              </w:rPr>
              <w:t>keine Kapazität</w:t>
            </w:r>
          </w:p>
        </w:tc>
        <w:tc>
          <w:tcPr>
            <w:tcW w:type="dxa" w:w="1291"/>
            <w:vAlign w:val="top"/>
            <w:tcMar>
              <w:top w:w="60" w:type="dxa"/>
              <w:start w:w="90" w:type="dxa"/>
              <w:bottom w:w="60" w:type="dxa"/>
              <w:end w:w="90" w:type="dxa"/>
            </w:tcMar>
          </w:tcPr>
          <w:p>
            <w:pPr>
              <w:keepLines/>
              <w:spacing w:after="0"/>
            </w:pPr>
            <w:r/>
            <w:r>
              <w:rPr>
                <w:rFonts w:ascii="Times New Roman" w:hAnsi="Times New Roman"/>
                <w:sz w:val="17"/>
              </w:rPr>
              <w:t>nein</w:t>
            </w:r>
          </w:p>
        </w:tc>
        <w:tc>
          <w:tcPr>
            <w:tcW w:type="dxa" w:w="1344"/>
            <w:vAlign w:val="top"/>
            <w:tcMar>
              <w:top w:w="60" w:type="dxa"/>
              <w:start w:w="90" w:type="dxa"/>
              <w:bottom w:w="60" w:type="dxa"/>
              <w:end w:w="90" w:type="dxa"/>
            </w:tcMar>
          </w:tcPr>
          <w:p>
            <w:pPr>
              <w:keepLines/>
              <w:spacing w:after="0"/>
            </w:pPr>
            <w:r/>
            <w:r>
              <w:rPr>
                <w:rFonts w:ascii="Times New Roman" w:hAnsi="Times New Roman"/>
                <w:sz w:val="17"/>
              </w:rPr>
              <w:t>keine Angabe</w:t>
            </w:r>
          </w:p>
        </w:tc>
        <w:tc>
          <w:tcPr>
            <w:tcW w:type="dxa" w:w="1344"/>
            <w:vAlign w:val="top"/>
            <w:tcMar>
              <w:top w:w="60" w:type="dxa"/>
              <w:start w:w="90" w:type="dxa"/>
              <w:bottom w:w="60" w:type="dxa"/>
              <w:end w:w="90" w:type="dxa"/>
            </w:tcMar>
          </w:tcPr>
          <w:p>
            <w:pPr>
              <w:keepLines/>
              <w:spacing w:after="0"/>
            </w:pPr>
            <w:r/>
            <w:r>
              <w:rPr>
                <w:rFonts w:ascii="Times New Roman" w:hAnsi="Times New Roman"/>
                <w:sz w:val="17"/>
              </w:rPr>
              <w:t>keine Angabe</w:t>
            </w:r>
          </w:p>
        </w:tc>
        <w:tc>
          <w:tcPr>
            <w:tcW w:type="dxa" w:w="1912"/>
            <w:vAlign w:val="top"/>
            <w:tcMar>
              <w:top w:w="60" w:type="dxa"/>
              <w:start w:w="90" w:type="dxa"/>
              <w:bottom w:w="60" w:type="dxa"/>
              <w:end w:w="90" w:type="dxa"/>
            </w:tcMar>
          </w:tcPr>
          <w:p>
            <w:pPr>
              <w:keepLines/>
              <w:spacing w:after="0"/>
            </w:pPr>
            <w:r/>
            <w:r>
              <w:rPr>
                <w:rFonts w:ascii="Times New Roman" w:hAnsi="Times New Roman"/>
                <w:sz w:val="17"/>
              </w:rPr>
              <w:t>Absage</w:t>
            </w:r>
          </w:p>
        </w:tc>
      </w:tr>
    </w:tbl>
    <w:p>
      <w:pPr>
        <w:spacing w:after="0" w:before="40"/>
      </w:pPr>
    </w:p>
    <w:p>
      <w:pPr>
        <w:pStyle w:val="Heading1"/>
      </w:pPr>
      <w:r>
        <w:t>Rechtliche Trennung</w:t>
      </w:r>
    </w:p>
    <w:p>
      <w:r>
        <w:t>Eine zulässige Nachfolge nach § 132 Abs. 2 Satz 1 Nr. 4 Buchstabe b GWB setzt die dokumentierte Eignung und das Ausbleiben weiterer wesentlicher Änderungen voraus. Sie darf nicht mit dem bloßen Hinweis auf Dringlichkeit begründet werden.</w:t>
      </w:r>
    </w:p>
    <w:p>
      <w:pPr>
        <w:keepNext/>
        <w:keepLines/>
      </w:pPr>
      <w:r>
        <w:t>Falls die Nachfolgeprüfung nicht rechtzeitig abgeschlossen werden kann, ist eine eigenständige Interimsbeschaffung nur für den nachweislich unaufschiebbaren Zeitraum und Leistungsumfang zu prüfen. Dabei sind Ursache, fehlende Zurechenbarkeit, Marktansprache, Laufzeit, Preis und der parallel betriebene Wettbewerb aktenkundig zu machen. Die Interimslösung darf keinen dauerhaften Zustand schaffen.</w:t>
      </w:r>
    </w:p>
    <w:p>
      <w:pPr>
        <w:pStyle w:val="Heading1"/>
        <w:keepNext/>
        <w:keepLines/>
      </w:pPr>
      <w:r>
        <w:t>Risikominderung</w:t>
      </w:r>
    </w:p>
    <w:p>
      <w:pPr>
        <w:pStyle w:val="ListNumber"/>
        <w:keepNext/>
        <w:keepLines/>
      </w:pPr>
      <w:r>
        <w:t>privilegierte Zugänge bis zur Freigabe unter Kontrolle der Stadt halten;</w:t>
      </w:r>
    </w:p>
    <w:p>
      <w:pPr>
        <w:pStyle w:val="ListNumber"/>
        <w:keepNext/>
        <w:keepLines/>
      </w:pPr>
      <w:r>
        <w:t>Betriebsdaten täglich sichern und Exportfähigkeit testen;</w:t>
      </w:r>
    </w:p>
    <w:p>
      <w:pPr>
        <w:pStyle w:val="ListNumber"/>
        <w:keepNext/>
        <w:keepLines/>
      </w:pPr>
      <w:r>
        <w:t>Übergabeleistungen vom Dauerbetrieb trennen;</w:t>
      </w:r>
    </w:p>
    <w:p>
      <w:pPr>
        <w:pStyle w:val="ListNumber"/>
        <w:keepNext/>
        <w:keepLines/>
      </w:pPr>
      <w:r>
        <w:t>europaweite Neuvergabe vorsorglich vorbereiten, ohne die Entscheidung nach § 132 GWB vorwegzunehmen;</w:t>
      </w:r>
    </w:p>
    <w:p>
      <w:pPr>
        <w:pStyle w:val="ListNumber"/>
        <w:keepNext/>
        <w:keepLines/>
      </w:pPr>
      <w:r>
        <w:t>DataPortus und KommunalCloud Süd um verbindliche Interimsangebote bitten, falls die Eignung der Erwerberin bis 13.11.2026 nicht vollständig belegt ist.</w:t>
      </w:r>
    </w:p>
    <w:p>
      <w:pPr>
        <w:pStyle w:val="Heading1"/>
        <w:keepNext/>
        <w:keepLines/>
      </w:pPr>
      <w:r>
        <w:t>Entscheidungsvorschlag</w:t>
      </w:r>
    </w:p>
    <w:p>
      <w:pPr>
        <w:keepLines/>
      </w:pPr>
      <w:r>
        <w:t>Die Erwerberin erhält eine letzte Nachweisfrist bis 13.11.2026, 12:00 Uhr. Parallel wird ein auf höchstens drei Monate begrenztes Interimsangebot abgefragt. Eine Verlängerungsoption darf nur für den Fall eines dokumentierten, trotz rechtzeitiger Vorbereitung nicht abgeschlossenen Vergabeverfahrens vorgesehen werden.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HB-IT-SERVICE-2026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Hafenburg - Amt für Digitalisierung</w:t>
      <w:t xml:space="preserve">  |  HB-IT-SERVICE-2026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Betriebsrisiko, Marktverfügbarkeit und eng befristete Interimssicherung</dc:title>
  <dc:subject>Markt- und Interimsprüfungsvermerk | Az. HB-IT-SERVICE-2026</dc:subject>
  <dc:creator>Stadt Hafenburg - Amt für Digitalisierung</dc:creator>
  <cp:keywords>Vergaberecht, HB-IT-SERVICE-2026, Markt- und Interimsprüfungsvermerk</cp:keywords>
  <dc:description>generated by python-docx</dc:description>
  <cp:lastModifiedBy>Stadt Hafenburg - Amt für Digitalisierung</cp:lastModifiedBy>
  <cp:revision>1</cp:revision>
  <dcterms:created xsi:type="dcterms:W3CDTF">2000-01-01T00:00:00Z</dcterms:created>
  <dcterms:modified xsi:type="dcterms:W3CDTF">2000-01-01T00:00:00Z</dcterms:modified>
  <cp:category>Vergabeakte</cp:category>
</cp:coreProperties>
</file>