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bei der Finanzbehörde Hafenburg</w:t>
            </w:r>
          </w:p>
          <w:p>
            <w:pPr>
              <w:spacing w:after="0"/>
            </w:pPr>
            <w:r>
              <w:rPr>
                <w:color w:val="646464"/>
                <w:sz w:val="18"/>
              </w:rPr>
              <w:t>Postfach 30 05 30, 20305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27.11.2026</w:t>
              <w:br/>
            </w:r>
            <w:r>
              <w:rPr>
                <w:rFonts w:ascii="Times New Roman" w:hAnsi="Times New Roman"/>
                <w:color w:val="646464"/>
                <w:sz w:val="18"/>
              </w:rPr>
              <w:t>Aktenzeichen: VK HB 14-6/26</w:t>
              <w:br/>
            </w:r>
            <w:r>
              <w:rPr>
                <w:rFonts w:ascii="Times New Roman" w:hAnsi="Times New Roman"/>
                <w:color w:val="646464"/>
                <w:sz w:val="18"/>
              </w:rPr>
              <w:t>Beschluss der Vergabekammer</w:t>
            </w:r>
          </w:p>
        </w:tc>
      </w:tr>
    </w:tbl>
    <w:p>
      <w:pPr>
        <w:spacing w:before="200" w:after="40"/>
      </w:pPr>
      <w:r>
        <w:rPr>
          <w:rFonts w:ascii="Times New Roman" w:hAnsi="Times New Roman"/>
          <w:color w:val="646464"/>
          <w:sz w:val="15"/>
        </w:rPr>
        <w:t>Vergabekammer bei der Finanzbehörde Hafenburg · Postfach 30 05 30, 20305 Hafenburg</w:t>
      </w:r>
    </w:p>
    <w:p>
      <w:pPr>
        <w:spacing w:after="240"/>
      </w:pPr>
      <w:r>
        <w:t>DataPortus GmbH, Stadt Hafenburg und NordSys Betriebserwerber GmbH</w:t>
      </w:r>
    </w:p>
    <w:p>
      <w:pPr>
        <w:pStyle w:val="Title"/>
      </w:pPr>
      <w:r>
        <w:t>Auftragnehmerwechsel nach Insolvenz im Vertrag HB-IT-SERVICE-2026</w:t>
      </w:r>
    </w:p>
    <w:p>
      <w:pPr>
        <w:pStyle w:val="Heading1"/>
      </w:pPr>
      <w:r>
        <w:t>Tenor</w:t>
      </w:r>
    </w:p>
    <w:p>
      <w:pPr>
        <w:pStyle w:val="ListNumber"/>
      </w:pPr>
      <w:r>
        <w:t>Der Stadt Hafenburg wird untersagt, die vorbereitete Eintrittsvereinbarung zu vollziehen, solange die endgültige Versicherungsbestätigung nicht vorliegt oder die Übertragung der privilegierten Systemzugänge nicht im Vier-Augen-Prinzip dokumentiert ist.</w:t>
      </w:r>
    </w:p>
    <w:p>
      <w:pPr>
        <w:pStyle w:val="ListNumber"/>
      </w:pPr>
      <w:r>
        <w:t>Im Übrigen wird der Nachprüfungsantrag zurückgewiesen.</w:t>
      </w:r>
    </w:p>
    <w:p>
      <w:pPr>
        <w:pStyle w:val="ListNumber"/>
      </w:pPr>
      <w:r>
        <w:t>Die Antragstellerin trägt drei Viertel, die Antragsgegnerin ein Viertel der Kosten des Verfahrens. Die Beigeladene trägt ihre außergerichtlichen Aufwendungen selbst.</w:t>
      </w:r>
    </w:p>
    <w:p>
      <w:pPr>
        <w:pStyle w:val="Heading1"/>
      </w:pPr>
      <w:r>
        <w:t>Gründe</w:t>
      </w:r>
    </w:p>
    <w:p>
      <w:pPr>
        <w:pStyle w:val="Heading2"/>
      </w:pPr>
      <w:r>
        <w:t>1. Rechtsschutz und Verfahrensstand</w:t>
      </w:r>
    </w:p>
    <w:p>
      <w:r>
        <w:t>Die Antragstellerin hat ihr Interesse an einer Neuausschreibung und den möglichen Verlust einer Wettbewerbsmöglichkeit schlüssig dargelegt. Die Antragsgegnerin hatte bei Antragseingang noch keine Eintrittsvereinbarung unterzeichnet. Die Kammer ordnete deshalb vorläufig an, den Auftragnehmerwechsel bis zur Entscheidung nicht zu vollziehen.</w:t>
      </w:r>
    </w:p>
    <w:p>
      <w:pPr>
        <w:pStyle w:val="Heading2"/>
      </w:pPr>
      <w:r>
        <w:t>2. Unternehmensumstrukturierung</w:t>
      </w:r>
    </w:p>
    <w:p>
      <w:r>
        <w:t>Der Erwerb betrifft nicht lediglich den öffentlichen Auftrag. Übertragen werden der operative Supportbetrieb, 38 Beschäftigte, Ticket- und Wissenssysteme, Wartungsverträge, Geräte, Kundenbeziehungen und die für den Betrieb erforderlichen Nutzungsrechte. Die Erwerberin rückt damit funktional in den betroffenen Betriebsteil ein. Der Vorgang ist eine Unternehmensumstrukturierung durch Erwerb aus der Insolvenz im Sinne von § 132 Abs. 2 Satz 1 Nr. 4 Buchstabe b GWB.</w:t>
      </w:r>
    </w:p>
    <w:p>
      <w:pPr>
        <w:pStyle w:val="Heading2"/>
      </w:pPr>
      <w:r>
        <w:t>3. Eignung und Vertragsidentität</w:t>
      </w:r>
    </w:p>
    <w:tbl>
      <w:tblPr>
        <w:tblStyle w:val="TableGrid"/>
        <w:tblW w:type="dxa" w:w="9071"/>
        <w:jc w:val="left"/>
        <w:tblLayout w:type="fixed"/>
        <w:tblLook w:firstColumn="1" w:firstRow="1" w:lastColumn="0" w:lastRow="0" w:noHBand="0" w:noVBand="1" w:val="04A0"/>
      </w:tblPr>
      <w:tblGrid>
        <w:gridCol w:w="2680"/>
        <w:gridCol w:w="3644"/>
        <w:gridCol w:w="2747"/>
      </w:tblGrid>
      <w:tr>
        <w:trPr>
          <w:tblHeader w:val="true"/>
          <w:cantSplit/>
        </w:trPr>
        <w:tc>
          <w:tcPr>
            <w:tcW w:type="dxa" w:w="26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Voraussetzung</w:t>
            </w:r>
          </w:p>
        </w:tc>
        <w:tc>
          <w:tcPr>
            <w:tcW w:type="dxa" w:w="3644"/>
            <w:vAlign w:val="top"/>
            <w:tcMar>
              <w:top w:w="60" w:type="dxa"/>
              <w:start w:w="90" w:type="dxa"/>
              <w:bottom w:w="60" w:type="dxa"/>
              <w:end w:w="90" w:type="dxa"/>
            </w:tcMar>
            <w:shd w:fill="01696F"/>
          </w:tcPr>
          <w:p>
            <w:pPr>
              <w:keepLines/>
              <w:spacing w:after="0"/>
            </w:pPr>
            <w:r/>
            <w:r>
              <w:rPr>
                <w:rFonts w:ascii="Times New Roman" w:hAnsi="Times New Roman"/>
                <w:b/>
                <w:color w:val="FFFFFF"/>
                <w:sz w:val="17"/>
              </w:rPr>
              <w:t>Kammerbefund</w:t>
            </w:r>
          </w:p>
        </w:tc>
        <w:tc>
          <w:tcPr>
            <w:tcW w:type="dxa" w:w="2747"/>
            <w:vAlign w:val="top"/>
            <w:tcMar>
              <w:top w:w="60" w:type="dxa"/>
              <w:start w:w="90" w:type="dxa"/>
              <w:bottom w:w="60" w:type="dxa"/>
              <w:end w:w="90" w:type="dxa"/>
            </w:tcMar>
            <w:shd w:fill="01696F"/>
          </w:tcPr>
          <w:p>
            <w:pPr>
              <w:keepLines/>
              <w:spacing w:after="0"/>
            </w:pPr>
            <w:r/>
            <w:r>
              <w:rPr>
                <w:rFonts w:ascii="Times New Roman" w:hAnsi="Times New Roman"/>
                <w:b/>
                <w:color w:val="FFFFFF"/>
                <w:sz w:val="17"/>
              </w:rPr>
              <w:t>maßgeblicher Beleg</w:t>
            </w:r>
          </w:p>
        </w:tc>
      </w:tr>
      <w:tr>
        <w:trPr>
          <w:cantSplit/>
        </w:trPr>
        <w:tc>
          <w:tcPr>
            <w:tcW w:type="dxa" w:w="2680"/>
            <w:vAlign w:val="top"/>
            <w:tcMar>
              <w:top w:w="60" w:type="dxa"/>
              <w:start w:w="90" w:type="dxa"/>
              <w:bottom w:w="60" w:type="dxa"/>
              <w:end w:w="90" w:type="dxa"/>
            </w:tcMar>
          </w:tcPr>
          <w:p>
            <w:pPr>
              <w:keepLines/>
              <w:spacing w:after="0"/>
            </w:pPr>
            <w:r/>
            <w:r>
              <w:rPr>
                <w:rFonts w:ascii="Times New Roman" w:hAnsi="Times New Roman"/>
                <w:sz w:val="17"/>
              </w:rPr>
              <w:t>personelle Leistungsfähigkeit</w:t>
            </w:r>
          </w:p>
        </w:tc>
        <w:tc>
          <w:tcPr>
            <w:tcW w:type="dxa" w:w="3644"/>
            <w:vAlign w:val="top"/>
            <w:tcMar>
              <w:top w:w="60" w:type="dxa"/>
              <w:start w:w="90" w:type="dxa"/>
              <w:bottom w:w="60" w:type="dxa"/>
              <w:end w:w="90" w:type="dxa"/>
            </w:tcMar>
          </w:tcPr>
          <w:p>
            <w:pPr>
              <w:keepLines/>
              <w:spacing w:after="0"/>
            </w:pPr>
            <w:r/>
            <w:r>
              <w:rPr>
                <w:rFonts w:ascii="Times New Roman" w:hAnsi="Times New Roman"/>
                <w:sz w:val="17"/>
              </w:rPr>
              <w:t>38 von 42 Supportkräften gehen über; alle Schlüsselrollen besetzt</w:t>
            </w:r>
          </w:p>
        </w:tc>
        <w:tc>
          <w:tcPr>
            <w:tcW w:type="dxa" w:w="2747"/>
            <w:vAlign w:val="top"/>
            <w:tcMar>
              <w:top w:w="60" w:type="dxa"/>
              <w:start w:w="90" w:type="dxa"/>
              <w:bottom w:w="60" w:type="dxa"/>
              <w:end w:w="90" w:type="dxa"/>
            </w:tcMar>
          </w:tcPr>
          <w:p>
            <w:pPr>
              <w:keepLines/>
              <w:spacing w:after="0"/>
            </w:pPr>
            <w:r/>
            <w:r>
              <w:rPr>
                <w:rFonts w:ascii="Times New Roman" w:hAnsi="Times New Roman"/>
                <w:sz w:val="17"/>
              </w:rPr>
              <w:t>Personalüberleitungsliste</w:t>
            </w:r>
          </w:p>
        </w:tc>
      </w:tr>
      <w:tr>
        <w:trPr>
          <w:cantSplit/>
        </w:trPr>
        <w:tc>
          <w:tcPr>
            <w:tcW w:type="dxa" w:w="2680"/>
            <w:vAlign w:val="top"/>
            <w:tcMar>
              <w:top w:w="60" w:type="dxa"/>
              <w:start w:w="90" w:type="dxa"/>
              <w:bottom w:w="60" w:type="dxa"/>
              <w:end w:w="90" w:type="dxa"/>
            </w:tcMar>
            <w:shd w:fill="F1F3F3"/>
          </w:tcPr>
          <w:p>
            <w:pPr>
              <w:keepLines/>
              <w:spacing w:after="0"/>
            </w:pPr>
            <w:r/>
            <w:r>
              <w:rPr>
                <w:rFonts w:ascii="Times New Roman" w:hAnsi="Times New Roman"/>
                <w:sz w:val="17"/>
              </w:rPr>
              <w:t>technische Leistungsfähigkeit</w:t>
            </w:r>
          </w:p>
        </w:tc>
        <w:tc>
          <w:tcPr>
            <w:tcW w:type="dxa" w:w="3644"/>
            <w:vAlign w:val="top"/>
            <w:tcMar>
              <w:top w:w="60" w:type="dxa"/>
              <w:start w:w="90" w:type="dxa"/>
              <w:bottom w:w="60" w:type="dxa"/>
              <w:end w:w="90" w:type="dxa"/>
            </w:tcMar>
            <w:shd w:fill="F1F3F3"/>
          </w:tcPr>
          <w:p>
            <w:pPr>
              <w:keepLines/>
              <w:spacing w:after="0"/>
            </w:pPr>
            <w:r/>
            <w:r>
              <w:rPr>
                <w:rFonts w:ascii="Times New Roman" w:hAnsi="Times New Roman"/>
                <w:sz w:val="17"/>
              </w:rPr>
              <w:t>Ticket-System, Wissensdatenbank und Betriebswerkzeuge werden übertragen</w:t>
            </w:r>
          </w:p>
        </w:tc>
        <w:tc>
          <w:tcPr>
            <w:tcW w:type="dxa" w:w="2747"/>
            <w:vAlign w:val="top"/>
            <w:tcMar>
              <w:top w:w="60" w:type="dxa"/>
              <w:start w:w="90" w:type="dxa"/>
              <w:bottom w:w="60" w:type="dxa"/>
              <w:end w:w="90" w:type="dxa"/>
            </w:tcMar>
            <w:shd w:fill="F1F3F3"/>
          </w:tcPr>
          <w:p>
            <w:pPr>
              <w:keepLines/>
              <w:spacing w:after="0"/>
            </w:pPr>
            <w:r/>
            <w:r>
              <w:rPr>
                <w:rFonts w:ascii="Times New Roman" w:hAnsi="Times New Roman"/>
                <w:sz w:val="17"/>
              </w:rPr>
              <w:t>Asset-Verzeichnis</w:t>
            </w:r>
          </w:p>
        </w:tc>
      </w:tr>
      <w:tr>
        <w:trPr>
          <w:cantSplit/>
        </w:trPr>
        <w:tc>
          <w:tcPr>
            <w:tcW w:type="dxa" w:w="2680"/>
            <w:vAlign w:val="top"/>
            <w:tcMar>
              <w:top w:w="60" w:type="dxa"/>
              <w:start w:w="90" w:type="dxa"/>
              <w:bottom w:w="60" w:type="dxa"/>
              <w:end w:w="90" w:type="dxa"/>
            </w:tcMar>
          </w:tcPr>
          <w:p>
            <w:pPr>
              <w:keepLines/>
              <w:spacing w:after="0"/>
            </w:pPr>
            <w:r/>
            <w:r>
              <w:rPr>
                <w:rFonts w:ascii="Times New Roman" w:hAnsi="Times New Roman"/>
                <w:sz w:val="17"/>
              </w:rPr>
              <w:t>Informationssicherheit</w:t>
            </w:r>
          </w:p>
        </w:tc>
        <w:tc>
          <w:tcPr>
            <w:tcW w:type="dxa" w:w="3644"/>
            <w:vAlign w:val="top"/>
            <w:tcMar>
              <w:top w:w="60" w:type="dxa"/>
              <w:start w:w="90" w:type="dxa"/>
              <w:bottom w:w="60" w:type="dxa"/>
              <w:end w:w="90" w:type="dxa"/>
            </w:tcMar>
          </w:tcPr>
          <w:p>
            <w:pPr>
              <w:keepLines/>
              <w:spacing w:after="0"/>
            </w:pPr>
            <w:r/>
            <w:r>
              <w:rPr>
                <w:rFonts w:ascii="Times New Roman" w:hAnsi="Times New Roman"/>
                <w:sz w:val="17"/>
              </w:rPr>
              <w:t>gleichwertiges Managementsystem durch Audit bestätigt</w:t>
            </w:r>
          </w:p>
        </w:tc>
        <w:tc>
          <w:tcPr>
            <w:tcW w:type="dxa" w:w="2747"/>
            <w:vAlign w:val="top"/>
            <w:tcMar>
              <w:top w:w="60" w:type="dxa"/>
              <w:start w:w="90" w:type="dxa"/>
              <w:bottom w:w="60" w:type="dxa"/>
              <w:end w:w="90" w:type="dxa"/>
            </w:tcMar>
          </w:tcPr>
          <w:p>
            <w:pPr>
              <w:keepLines/>
              <w:spacing w:after="0"/>
            </w:pPr>
            <w:r/>
            <w:r>
              <w:rPr>
                <w:rFonts w:ascii="Times New Roman" w:hAnsi="Times New Roman"/>
                <w:sz w:val="17"/>
              </w:rPr>
              <w:t>Auditbericht IS-441/26</w:t>
            </w:r>
          </w:p>
        </w:tc>
      </w:tr>
      <w:tr>
        <w:trPr>
          <w:cantSplit/>
        </w:trPr>
        <w:tc>
          <w:tcPr>
            <w:tcW w:type="dxa" w:w="2680"/>
            <w:vAlign w:val="top"/>
            <w:tcMar>
              <w:top w:w="60" w:type="dxa"/>
              <w:start w:w="90" w:type="dxa"/>
              <w:bottom w:w="60" w:type="dxa"/>
              <w:end w:w="90" w:type="dxa"/>
            </w:tcMar>
            <w:shd w:fill="F1F3F3"/>
          </w:tcPr>
          <w:p>
            <w:pPr>
              <w:keepLines/>
              <w:spacing w:after="0"/>
            </w:pPr>
            <w:r/>
            <w:r>
              <w:rPr>
                <w:rFonts w:ascii="Times New Roman" w:hAnsi="Times New Roman"/>
                <w:sz w:val="17"/>
              </w:rPr>
              <w:t>Versicherung</w:t>
            </w:r>
          </w:p>
        </w:tc>
        <w:tc>
          <w:tcPr>
            <w:tcW w:type="dxa" w:w="3644"/>
            <w:vAlign w:val="top"/>
            <w:tcMar>
              <w:top w:w="60" w:type="dxa"/>
              <w:start w:w="90" w:type="dxa"/>
              <w:bottom w:w="60" w:type="dxa"/>
              <w:end w:w="90" w:type="dxa"/>
            </w:tcMar>
            <w:shd w:fill="F1F3F3"/>
          </w:tcPr>
          <w:p>
            <w:pPr>
              <w:keepLines/>
              <w:spacing w:after="0"/>
            </w:pPr>
            <w:r/>
            <w:r>
              <w:rPr>
                <w:rFonts w:ascii="Times New Roman" w:hAnsi="Times New Roman"/>
                <w:sz w:val="17"/>
              </w:rPr>
              <w:t>Deckungszusage liegt vor, endgültige Police noch ausstehend</w:t>
            </w:r>
          </w:p>
        </w:tc>
        <w:tc>
          <w:tcPr>
            <w:tcW w:type="dxa" w:w="2747"/>
            <w:vAlign w:val="top"/>
            <w:tcMar>
              <w:top w:w="60" w:type="dxa"/>
              <w:start w:w="90" w:type="dxa"/>
              <w:bottom w:w="60" w:type="dxa"/>
              <w:end w:w="90" w:type="dxa"/>
            </w:tcMar>
            <w:shd w:fill="F1F3F3"/>
          </w:tcPr>
          <w:p>
            <w:pPr>
              <w:keepLines/>
              <w:spacing w:after="0"/>
            </w:pPr>
            <w:r/>
            <w:r>
              <w:rPr>
                <w:rFonts w:ascii="Times New Roman" w:hAnsi="Times New Roman"/>
                <w:sz w:val="17"/>
              </w:rPr>
              <w:t>Versichererbestätigung</w:t>
            </w:r>
          </w:p>
        </w:tc>
      </w:tr>
      <w:tr>
        <w:trPr>
          <w:cantSplit/>
        </w:trPr>
        <w:tc>
          <w:tcPr>
            <w:tcW w:type="dxa" w:w="2680"/>
            <w:vAlign w:val="top"/>
            <w:tcMar>
              <w:top w:w="60" w:type="dxa"/>
              <w:start w:w="90" w:type="dxa"/>
              <w:bottom w:w="60" w:type="dxa"/>
              <w:end w:w="90" w:type="dxa"/>
            </w:tcMar>
          </w:tcPr>
          <w:p>
            <w:pPr>
              <w:keepLines/>
              <w:spacing w:after="0"/>
            </w:pPr>
            <w:r/>
            <w:r>
              <w:rPr>
                <w:rFonts w:ascii="Times New Roman" w:hAnsi="Times New Roman"/>
                <w:sz w:val="17"/>
              </w:rPr>
              <w:t>Leistung und Preis</w:t>
            </w:r>
          </w:p>
        </w:tc>
        <w:tc>
          <w:tcPr>
            <w:tcW w:type="dxa" w:w="3644"/>
            <w:vAlign w:val="top"/>
            <w:tcMar>
              <w:top w:w="60" w:type="dxa"/>
              <w:start w:w="90" w:type="dxa"/>
              <w:bottom w:w="60" w:type="dxa"/>
              <w:end w:w="90" w:type="dxa"/>
            </w:tcMar>
          </w:tcPr>
          <w:p>
            <w:pPr>
              <w:keepLines/>
              <w:spacing w:after="0"/>
            </w:pPr>
            <w:r/>
            <w:r>
              <w:rPr>
                <w:rFonts w:ascii="Times New Roman" w:hAnsi="Times New Roman"/>
                <w:sz w:val="17"/>
              </w:rPr>
              <w:t>SLA, Leistungsumfang und Vergütung unverändert</w:t>
            </w:r>
          </w:p>
        </w:tc>
        <w:tc>
          <w:tcPr>
            <w:tcW w:type="dxa" w:w="2747"/>
            <w:vAlign w:val="top"/>
            <w:tcMar>
              <w:top w:w="60" w:type="dxa"/>
              <w:start w:w="90" w:type="dxa"/>
              <w:bottom w:w="60" w:type="dxa"/>
              <w:end w:w="90" w:type="dxa"/>
            </w:tcMar>
          </w:tcPr>
          <w:p>
            <w:pPr>
              <w:keepLines/>
              <w:spacing w:after="0"/>
            </w:pPr>
            <w:r/>
            <w:r>
              <w:rPr>
                <w:rFonts w:ascii="Times New Roman" w:hAnsi="Times New Roman"/>
                <w:sz w:val="17"/>
              </w:rPr>
              <w:t>Eintrittsvereinbarung</w:t>
            </w:r>
          </w:p>
        </w:tc>
      </w:tr>
      <w:tr>
        <w:trPr>
          <w:cantSplit/>
        </w:trPr>
        <w:tc>
          <w:tcPr>
            <w:tcW w:type="dxa" w:w="2680"/>
            <w:vAlign w:val="top"/>
            <w:tcMar>
              <w:top w:w="60" w:type="dxa"/>
              <w:start w:w="90" w:type="dxa"/>
              <w:bottom w:w="60" w:type="dxa"/>
              <w:end w:w="90" w:type="dxa"/>
            </w:tcMar>
            <w:shd w:fill="F1F3F3"/>
          </w:tcPr>
          <w:p>
            <w:pPr>
              <w:keepLines/>
              <w:spacing w:after="0"/>
            </w:pPr>
            <w:r/>
            <w:r>
              <w:rPr>
                <w:rFonts w:ascii="Times New Roman" w:hAnsi="Times New Roman"/>
                <w:sz w:val="17"/>
              </w:rPr>
              <w:t>Laufzeit und Risiko</w:t>
            </w:r>
          </w:p>
        </w:tc>
        <w:tc>
          <w:tcPr>
            <w:tcW w:type="dxa" w:w="3644"/>
            <w:vAlign w:val="top"/>
            <w:tcMar>
              <w:top w:w="60" w:type="dxa"/>
              <w:start w:w="90" w:type="dxa"/>
              <w:bottom w:w="60" w:type="dxa"/>
              <w:end w:w="90" w:type="dxa"/>
            </w:tcMar>
            <w:shd w:fill="F1F3F3"/>
          </w:tcPr>
          <w:p>
            <w:pPr>
              <w:keepLines/>
              <w:spacing w:after="0"/>
            </w:pPr>
            <w:r/>
            <w:r>
              <w:rPr>
                <w:rFonts w:ascii="Times New Roman" w:hAnsi="Times New Roman"/>
                <w:sz w:val="17"/>
              </w:rPr>
              <w:t>keine Verlängerung, keine Haftungsentlastung, keine neue Option</w:t>
            </w:r>
          </w:p>
        </w:tc>
        <w:tc>
          <w:tcPr>
            <w:tcW w:type="dxa" w:w="2747"/>
            <w:vAlign w:val="top"/>
            <w:tcMar>
              <w:top w:w="60" w:type="dxa"/>
              <w:start w:w="90" w:type="dxa"/>
              <w:bottom w:w="60" w:type="dxa"/>
              <w:end w:w="90" w:type="dxa"/>
            </w:tcMar>
            <w:shd w:fill="F1F3F3"/>
          </w:tcPr>
          <w:p>
            <w:pPr>
              <w:keepLines/>
              <w:spacing w:after="0"/>
            </w:pPr>
            <w:r/>
            <w:r>
              <w:rPr>
                <w:rFonts w:ascii="Times New Roman" w:hAnsi="Times New Roman"/>
                <w:sz w:val="17"/>
              </w:rPr>
              <w:t>Synopse Altvertrag/Eintritt</w:t>
            </w:r>
          </w:p>
        </w:tc>
      </w:tr>
    </w:tbl>
    <w:p>
      <w:pPr>
        <w:spacing w:after="0" w:before="40"/>
      </w:pPr>
    </w:p>
    <w:p>
      <w:r>
        <w:t>Die ursprünglichen Eignungsanforderungen müssen bei Eintritt erfüllt sein. Eigene historische Referenzen einer neu gegründeten Erwerbergesellschaft sind nicht in jedem Fall der einzige zulässige Nachweis; entscheidend ist, ob ihr die fortgeführte betriebliche Erfahrung, die Ressourcen und die verantwortlichen Leistungsträger belastbar zugeordnet sind. Hier ist diese Zuordnung dokumentiert.</w:t>
      </w:r>
    </w:p>
    <w:p>
      <w:pPr>
        <w:pStyle w:val="Heading2"/>
      </w:pPr>
      <w:r>
        <w:t>4. Keine weitere wesentliche Änderung</w:t>
      </w:r>
    </w:p>
    <w:p>
      <w:r>
        <w:t>Die Eintrittsvereinbarung ändert weder den Leistungsumfang noch Preis, Laufzeit, Service Levels, Haftung oder Risikoverteilung. Neue Module und eine Verlängerung wurden aus dem Entwurf gestrichen. Der Auftragnehmerwechsel verschiebt das wirtschaftliche Gleichgewicht nicht zugunsten der Erwerberin.</w:t>
      </w:r>
    </w:p>
    <w:p>
      <w:pPr>
        <w:pStyle w:val="Heading2"/>
        <w:keepNext/>
        <w:keepLines/>
      </w:pPr>
      <w:r>
        <w:t>5. Rechtsfolge</w:t>
      </w:r>
    </w:p>
    <w:p>
      <w:pPr>
        <w:keepNext/>
        <w:keepLines/>
      </w:pPr>
      <w:r>
        <w:t>Ein neues Vergabeverfahren ist für den nachgewiesenen Eintritt nicht erforderlich. Die Kammer spricht der Erwerberin keinen Anspruch auf Vertragsübernahme zu; sie prüft allein, ob die Vergabestelle den Wechsel vergaberechtlich zulassen darf. Weil zwei für Eignung und sicheren Betriebsübergang erhebliche Nachweise noch ausstehen, hat der Antrag insoweit Erfolg. Die beiden Vollzugsbedingungen sind vor Unterzeichnung aktenkundig zu erfüllen.</w:t>
      </w:r>
    </w:p>
    <w:p>
      <w:pPr>
        <w:keepNext/>
        <w:keepLines/>
      </w:pPr>
      <w:r>
        <w:t>Eine Bekanntmachung nach § 132 Abs. 5 GWB ist für eine allein auf Absatz 2 Satz 1 Nummer 4 Buchstabe b gestützte Änderung nicht vorgeschrieben. Die fehlende Bekanntmachung ersetzt daher keinen Vergabeverstoß. Eine freiwillige Ex-ante-Transparenzbekanntmachung bleibt eine gesondert zu prüfende Risikomaßnahme.</w:t>
      </w:r>
    </w:p>
    <w:p>
      <w:pPr>
        <w:keepLines/>
      </w:pPr>
      <w:r>
        <w:t>Vergabekammer bei der Finanzbehörde Hafenburg</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HB 14-6/26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bei der Finanzbehörde Hafenburg</w:t>
      <w:t xml:space="preserve">  |  VK HB 14-6/26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Auftragnehmerwechsel nach Insolvenz im Vertrag HB-IT-SERVICE-2026</dc:title>
  <dc:subject>Beschluss der Vergabekammer | Az. VK HB 14-6/26</dc:subject>
  <dc:creator>Vergabekammer bei der Finanzbehörde Hafenburg</dc:creator>
  <cp:keywords>Vergaberecht, VK HB 14-6/26, Beschluss der Vergabekammer</cp:keywords>
  <dc:description>generated by python-docx</dc:description>
  <cp:lastModifiedBy>Vergabekammer bei der Finanzbehörde Hafenburg</cp:lastModifiedBy>
  <cp:revision>1</cp:revision>
  <dcterms:created xsi:type="dcterms:W3CDTF">2000-01-01T00:00:00Z</dcterms:created>
  <dcterms:modified xsi:type="dcterms:W3CDTF">2000-01-01T00:00:00Z</dcterms:modified>
  <cp:category>Vergabeakte</cp:category>
</cp:coreProperties>
</file>