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Amt für Digitalisierung</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15.12.2026</w:t>
              <w:br/>
            </w:r>
            <w:r>
              <w:rPr>
                <w:rFonts w:ascii="Times New Roman" w:hAnsi="Times New Roman"/>
                <w:color w:val="646464"/>
                <w:sz w:val="18"/>
              </w:rPr>
              <w:t>Aktenzeichen: HB-IT-SERVICE-2026</w:t>
              <w:br/>
            </w:r>
            <w:r>
              <w:rPr>
                <w:rFonts w:ascii="Times New Roman" w:hAnsi="Times New Roman"/>
                <w:color w:val="646464"/>
                <w:sz w:val="18"/>
              </w:rPr>
              <w:t>Eintritts-, Übergabe- und Monitoringprotokoll</w:t>
            </w:r>
          </w:p>
        </w:tc>
      </w:tr>
    </w:tbl>
    <w:p>
      <w:pPr>
        <w:spacing w:before="200" w:after="40"/>
      </w:pPr>
      <w:r>
        <w:rPr>
          <w:rFonts w:ascii="Times New Roman" w:hAnsi="Times New Roman"/>
          <w:color w:val="646464"/>
          <w:sz w:val="15"/>
        </w:rPr>
        <w:t>Stadt Hafenburg - Amt für Digitalisierung · Hafenallee 12, 21079 Hafenburg</w:t>
      </w:r>
    </w:p>
    <w:p>
      <w:pPr>
        <w:spacing w:after="240"/>
      </w:pPr>
      <w:r>
        <w:t>Vertragsakte HB-IT-SERVICE-2026</w:t>
      </w:r>
    </w:p>
    <w:p>
      <w:pPr>
        <w:pStyle w:val="Title"/>
      </w:pPr>
      <w:r>
        <w:t>Vollzug des Auftragnehmerwechsels auf NordSys Betriebserwerber GmbH</w:t>
      </w:r>
    </w:p>
    <w:p>
      <w:pPr>
        <w:pStyle w:val="Heading1"/>
      </w:pPr>
      <w:r>
        <w:t>1. Vollzugsfreigabe</w:t>
      </w:r>
    </w:p>
    <w:p>
      <w:r>
        <w:t>Der Beschluss VK HB 14-6/26 wurde den Beteiligten am 27.11.2026 zugestellt. Die endgültige Versicherungsbestätigung ging am 28.11.2026 ein. Die Neuausstellung der privilegierten Zugänge wurde am 29.11.2026 durch Informationssicherheit und Fachverfahrensbetrieb gemeinsam protokolliert. Die beiden im Beschluss bezeichneten Bedingungen sind erfüllt. Innerhalb der am 11.12.2026 abgelaufenen Beschwerdefrist wurde kein Rechtsmittel eingelegt; die Rechtsabteilung bestätigte am 14.12.2026 die Bestandskraft.</w:t>
      </w:r>
    </w:p>
    <w:p>
      <w:r>
        <w:t>Die Stadt, der Insolvenzverwalter und die NordSys Betriebserwerber GmbH unterzeichnen die Eintrittsvereinbarung mit Wirkung zum 16.12.2026, 00:00 Uhr.</w:t>
      </w:r>
    </w:p>
    <w:p>
      <w:pPr>
        <w:pStyle w:val="Heading1"/>
      </w:pPr>
      <w:r>
        <w:t>2. Unveränderte Vertragsparameter</w:t>
      </w:r>
    </w:p>
    <w:tbl>
      <w:tblPr>
        <w:tblStyle w:val="TableGrid"/>
        <w:tblW w:type="dxa" w:w="9071"/>
        <w:jc w:val="left"/>
        <w:tblLayout w:type="fixed"/>
        <w:tblLook w:firstColumn="1" w:firstRow="1" w:lastColumn="0" w:lastRow="0" w:noHBand="0" w:noVBand="1" w:val="04A0"/>
      </w:tblPr>
      <w:tblGrid>
        <w:gridCol w:w="2593"/>
        <w:gridCol w:w="2556"/>
        <w:gridCol w:w="2011"/>
        <w:gridCol w:w="1911"/>
      </w:tblGrid>
      <w:tr>
        <w:trPr>
          <w:tblHeader w:val="true"/>
          <w:cantSplit/>
        </w:trPr>
        <w:tc>
          <w:tcPr>
            <w:tcW w:type="dxa" w:w="2593"/>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Vertragsparameter</w:t>
            </w:r>
          </w:p>
        </w:tc>
        <w:tc>
          <w:tcPr>
            <w:tcW w:type="dxa" w:w="255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 Eintritt</w:t>
            </w:r>
          </w:p>
        </w:tc>
        <w:tc>
          <w:tcPr>
            <w:tcW w:type="dxa" w:w="20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 Eintritt</w:t>
            </w:r>
          </w:p>
        </w:tc>
        <w:tc>
          <w:tcPr>
            <w:tcW w:type="dxa" w:w="19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Änderung</w:t>
            </w:r>
          </w:p>
        </w:tc>
      </w:tr>
      <w:tr>
        <w:trPr>
          <w:cantSplit/>
        </w:trPr>
        <w:tc>
          <w:tcPr>
            <w:tcW w:type="dxa" w:w="2593"/>
            <w:vAlign w:val="top"/>
            <w:tcMar>
              <w:top w:w="60" w:type="dxa"/>
              <w:start w:w="90" w:type="dxa"/>
              <w:bottom w:w="60" w:type="dxa"/>
              <w:end w:w="90" w:type="dxa"/>
            </w:tcMar>
          </w:tcPr>
          <w:p>
            <w:pPr>
              <w:keepLines/>
              <w:spacing w:after="0"/>
            </w:pPr>
            <w:r/>
            <w:r>
              <w:rPr>
                <w:rFonts w:ascii="Times New Roman" w:hAnsi="Times New Roman"/>
                <w:sz w:val="17"/>
              </w:rPr>
              <w:t>monatliche Grundvergütung</w:t>
            </w:r>
          </w:p>
        </w:tc>
        <w:tc>
          <w:tcPr>
            <w:tcW w:type="dxa" w:w="2556"/>
            <w:vAlign w:val="top"/>
            <w:tcMar>
              <w:top w:w="60" w:type="dxa"/>
              <w:start w:w="90" w:type="dxa"/>
              <w:bottom w:w="60" w:type="dxa"/>
              <w:end w:w="90" w:type="dxa"/>
            </w:tcMar>
          </w:tcPr>
          <w:p>
            <w:pPr>
              <w:keepLines/>
              <w:spacing w:after="0"/>
            </w:pPr>
            <w:r/>
            <w:r>
              <w:rPr>
                <w:rFonts w:ascii="Times New Roman" w:hAnsi="Times New Roman"/>
                <w:sz w:val="17"/>
              </w:rPr>
              <w:t>80.000 EUR netto</w:t>
            </w:r>
          </w:p>
        </w:tc>
        <w:tc>
          <w:tcPr>
            <w:tcW w:type="dxa" w:w="2011"/>
            <w:vAlign w:val="top"/>
            <w:tcMar>
              <w:top w:w="60" w:type="dxa"/>
              <w:start w:w="90" w:type="dxa"/>
              <w:bottom w:w="60" w:type="dxa"/>
              <w:end w:w="90" w:type="dxa"/>
            </w:tcMar>
          </w:tcPr>
          <w:p>
            <w:pPr>
              <w:keepLines/>
              <w:spacing w:after="0"/>
            </w:pPr>
            <w:r/>
            <w:r>
              <w:rPr>
                <w:rFonts w:ascii="Times New Roman" w:hAnsi="Times New Roman"/>
                <w:sz w:val="17"/>
              </w:rPr>
              <w:t>80.000 EUR netto</w:t>
            </w:r>
          </w:p>
        </w:tc>
        <w:tc>
          <w:tcPr>
            <w:tcW w:type="dxa" w:w="1911"/>
            <w:vAlign w:val="top"/>
            <w:tcMar>
              <w:top w:w="60" w:type="dxa"/>
              <w:start w:w="90" w:type="dxa"/>
              <w:bottom w:w="60" w:type="dxa"/>
              <w:end w:w="90" w:type="dxa"/>
            </w:tcMar>
          </w:tcPr>
          <w:p>
            <w:pPr>
              <w:keepLines/>
              <w:spacing w:after="0"/>
            </w:pPr>
            <w:r/>
            <w:r>
              <w:rPr>
                <w:rFonts w:ascii="Times New Roman" w:hAnsi="Times New Roman"/>
                <w:sz w:val="17"/>
              </w:rPr>
              <w:t>keine</w:t>
            </w:r>
          </w:p>
        </w:tc>
      </w:tr>
      <w:tr>
        <w:trPr>
          <w:cantSplit/>
        </w:trPr>
        <w:tc>
          <w:tcPr>
            <w:tcW w:type="dxa" w:w="2593"/>
            <w:vAlign w:val="top"/>
            <w:tcMar>
              <w:top w:w="60" w:type="dxa"/>
              <w:start w:w="90" w:type="dxa"/>
              <w:bottom w:w="60" w:type="dxa"/>
              <w:end w:w="90" w:type="dxa"/>
            </w:tcMar>
            <w:shd w:fill="F1F3F3"/>
          </w:tcPr>
          <w:p>
            <w:pPr>
              <w:keepLines/>
              <w:spacing w:after="0"/>
            </w:pPr>
            <w:r/>
            <w:r>
              <w:rPr>
                <w:rFonts w:ascii="Times New Roman" w:hAnsi="Times New Roman"/>
                <w:sz w:val="17"/>
              </w:rPr>
              <w:t>Vertragsende Grundlaufzeit</w:t>
            </w:r>
          </w:p>
        </w:tc>
        <w:tc>
          <w:tcPr>
            <w:tcW w:type="dxa" w:w="2556"/>
            <w:vAlign w:val="top"/>
            <w:tcMar>
              <w:top w:w="60" w:type="dxa"/>
              <w:start w:w="90" w:type="dxa"/>
              <w:bottom w:w="60" w:type="dxa"/>
              <w:end w:w="90" w:type="dxa"/>
            </w:tcMar>
            <w:shd w:fill="F1F3F3"/>
          </w:tcPr>
          <w:p>
            <w:pPr>
              <w:keepLines/>
              <w:spacing w:after="0"/>
            </w:pPr>
            <w:r/>
            <w:r>
              <w:rPr>
                <w:rFonts w:ascii="Times New Roman" w:hAnsi="Times New Roman"/>
                <w:sz w:val="17"/>
              </w:rPr>
              <w:t>31.03.2030</w:t>
            </w:r>
          </w:p>
        </w:tc>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31.03.2030</w:t>
            </w:r>
          </w:p>
        </w:tc>
        <w:tc>
          <w:tcPr>
            <w:tcW w:type="dxa" w:w="1911"/>
            <w:vAlign w:val="top"/>
            <w:tcMar>
              <w:top w:w="60" w:type="dxa"/>
              <w:start w:w="90" w:type="dxa"/>
              <w:bottom w:w="60" w:type="dxa"/>
              <w:end w:w="90" w:type="dxa"/>
            </w:tcMar>
            <w:shd w:fill="F1F3F3"/>
          </w:tcPr>
          <w:p>
            <w:pPr>
              <w:keepLines/>
              <w:spacing w:after="0"/>
            </w:pPr>
            <w:r/>
            <w:r>
              <w:rPr>
                <w:rFonts w:ascii="Times New Roman" w:hAnsi="Times New Roman"/>
                <w:sz w:val="17"/>
              </w:rPr>
              <w:t>keine</w:t>
            </w:r>
          </w:p>
        </w:tc>
      </w:tr>
      <w:tr>
        <w:trPr>
          <w:cantSplit/>
        </w:trPr>
        <w:tc>
          <w:tcPr>
            <w:tcW w:type="dxa" w:w="2593"/>
            <w:vAlign w:val="top"/>
            <w:tcMar>
              <w:top w:w="60" w:type="dxa"/>
              <w:start w:w="90" w:type="dxa"/>
              <w:bottom w:w="60" w:type="dxa"/>
              <w:end w:w="90" w:type="dxa"/>
            </w:tcMar>
          </w:tcPr>
          <w:p>
            <w:pPr>
              <w:keepLines/>
              <w:spacing w:after="0"/>
            </w:pPr>
            <w:r/>
            <w:r>
              <w:rPr>
                <w:rFonts w:ascii="Times New Roman" w:hAnsi="Times New Roman"/>
                <w:sz w:val="17"/>
              </w:rPr>
              <w:t>Verlängerungsoptionen</w:t>
            </w:r>
          </w:p>
        </w:tc>
        <w:tc>
          <w:tcPr>
            <w:tcW w:type="dxa" w:w="2556"/>
            <w:vAlign w:val="top"/>
            <w:tcMar>
              <w:top w:w="60" w:type="dxa"/>
              <w:start w:w="90" w:type="dxa"/>
              <w:bottom w:w="60" w:type="dxa"/>
              <w:end w:w="90" w:type="dxa"/>
            </w:tcMar>
          </w:tcPr>
          <w:p>
            <w:pPr>
              <w:keepLines/>
              <w:spacing w:after="0"/>
            </w:pPr>
            <w:r/>
            <w:r>
              <w:rPr>
                <w:rFonts w:ascii="Times New Roman" w:hAnsi="Times New Roman"/>
                <w:sz w:val="17"/>
              </w:rPr>
              <w:t>zweimal zwölf Monate</w:t>
            </w:r>
          </w:p>
        </w:tc>
        <w:tc>
          <w:tcPr>
            <w:tcW w:type="dxa" w:w="2011"/>
            <w:vAlign w:val="top"/>
            <w:tcMar>
              <w:top w:w="60" w:type="dxa"/>
              <w:start w:w="90" w:type="dxa"/>
              <w:bottom w:w="60" w:type="dxa"/>
              <w:end w:w="90" w:type="dxa"/>
            </w:tcMar>
          </w:tcPr>
          <w:p>
            <w:pPr>
              <w:keepLines/>
              <w:spacing w:after="0"/>
            </w:pPr>
            <w:r/>
            <w:r>
              <w:rPr>
                <w:rFonts w:ascii="Times New Roman" w:hAnsi="Times New Roman"/>
                <w:sz w:val="17"/>
              </w:rPr>
              <w:t>zweimal zwölf Monate</w:t>
            </w:r>
          </w:p>
        </w:tc>
        <w:tc>
          <w:tcPr>
            <w:tcW w:type="dxa" w:w="1911"/>
            <w:vAlign w:val="top"/>
            <w:tcMar>
              <w:top w:w="60" w:type="dxa"/>
              <w:start w:w="90" w:type="dxa"/>
              <w:bottom w:w="60" w:type="dxa"/>
              <w:end w:w="90" w:type="dxa"/>
            </w:tcMar>
          </w:tcPr>
          <w:p>
            <w:pPr>
              <w:keepLines/>
              <w:spacing w:after="0"/>
            </w:pPr>
            <w:r/>
            <w:r>
              <w:rPr>
                <w:rFonts w:ascii="Times New Roman" w:hAnsi="Times New Roman"/>
                <w:sz w:val="17"/>
              </w:rPr>
              <w:t>keine</w:t>
            </w:r>
          </w:p>
        </w:tc>
      </w:tr>
      <w:tr>
        <w:trPr>
          <w:cantSplit/>
        </w:trPr>
        <w:tc>
          <w:tcPr>
            <w:tcW w:type="dxa" w:w="2593"/>
            <w:vAlign w:val="top"/>
            <w:tcMar>
              <w:top w:w="60" w:type="dxa"/>
              <w:start w:w="90" w:type="dxa"/>
              <w:bottom w:w="60" w:type="dxa"/>
              <w:end w:w="90" w:type="dxa"/>
            </w:tcMar>
            <w:shd w:fill="F1F3F3"/>
          </w:tcPr>
          <w:p>
            <w:pPr>
              <w:keepLines/>
              <w:spacing w:after="0"/>
            </w:pPr>
            <w:r/>
            <w:r>
              <w:rPr>
                <w:rFonts w:ascii="Times New Roman" w:hAnsi="Times New Roman"/>
                <w:sz w:val="17"/>
              </w:rPr>
              <w:t>Service Levels</w:t>
            </w:r>
          </w:p>
        </w:tc>
        <w:tc>
          <w:tcPr>
            <w:tcW w:type="dxa" w:w="2556"/>
            <w:vAlign w:val="top"/>
            <w:tcMar>
              <w:top w:w="60" w:type="dxa"/>
              <w:start w:w="90" w:type="dxa"/>
              <w:bottom w:w="60" w:type="dxa"/>
              <w:end w:w="90" w:type="dxa"/>
            </w:tcMar>
            <w:shd w:fill="F1F3F3"/>
          </w:tcPr>
          <w:p>
            <w:pPr>
              <w:keepLines/>
              <w:spacing w:after="0"/>
            </w:pPr>
            <w:r/>
            <w:r>
              <w:rPr>
                <w:rFonts w:ascii="Times New Roman" w:hAnsi="Times New Roman"/>
                <w:sz w:val="17"/>
              </w:rPr>
              <w:t>Anlage SLA-2</w:t>
            </w:r>
          </w:p>
        </w:tc>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Anlage SLA-2</w:t>
            </w:r>
          </w:p>
        </w:tc>
        <w:tc>
          <w:tcPr>
            <w:tcW w:type="dxa" w:w="1911"/>
            <w:vAlign w:val="top"/>
            <w:tcMar>
              <w:top w:w="60" w:type="dxa"/>
              <w:start w:w="90" w:type="dxa"/>
              <w:bottom w:w="60" w:type="dxa"/>
              <w:end w:w="90" w:type="dxa"/>
            </w:tcMar>
            <w:shd w:fill="F1F3F3"/>
          </w:tcPr>
          <w:p>
            <w:pPr>
              <w:keepLines/>
              <w:spacing w:after="0"/>
            </w:pPr>
            <w:r/>
            <w:r>
              <w:rPr>
                <w:rFonts w:ascii="Times New Roman" w:hAnsi="Times New Roman"/>
                <w:sz w:val="17"/>
              </w:rPr>
              <w:t>keine</w:t>
            </w:r>
          </w:p>
        </w:tc>
      </w:tr>
      <w:tr>
        <w:trPr>
          <w:cantSplit/>
        </w:trPr>
        <w:tc>
          <w:tcPr>
            <w:tcW w:type="dxa" w:w="2593"/>
            <w:vAlign w:val="top"/>
            <w:tcMar>
              <w:top w:w="60" w:type="dxa"/>
              <w:start w:w="90" w:type="dxa"/>
              <w:bottom w:w="60" w:type="dxa"/>
              <w:end w:w="90" w:type="dxa"/>
            </w:tcMar>
          </w:tcPr>
          <w:p>
            <w:pPr>
              <w:keepLines/>
              <w:spacing w:after="0"/>
            </w:pPr>
            <w:r/>
            <w:r>
              <w:rPr>
                <w:rFonts w:ascii="Times New Roman" w:hAnsi="Times New Roman"/>
                <w:sz w:val="17"/>
              </w:rPr>
              <w:t>Haftungsgrenzen</w:t>
            </w:r>
          </w:p>
        </w:tc>
        <w:tc>
          <w:tcPr>
            <w:tcW w:type="dxa" w:w="2556"/>
            <w:vAlign w:val="top"/>
            <w:tcMar>
              <w:top w:w="60" w:type="dxa"/>
              <w:start w:w="90" w:type="dxa"/>
              <w:bottom w:w="60" w:type="dxa"/>
              <w:end w:w="90" w:type="dxa"/>
            </w:tcMar>
          </w:tcPr>
          <w:p>
            <w:pPr>
              <w:keepLines/>
              <w:spacing w:after="0"/>
            </w:pPr>
            <w:r/>
            <w:r>
              <w:rPr>
                <w:rFonts w:ascii="Times New Roman" w:hAnsi="Times New Roman"/>
                <w:sz w:val="17"/>
              </w:rPr>
              <w:t>§ 15 Hauptvertrag</w:t>
            </w:r>
          </w:p>
        </w:tc>
        <w:tc>
          <w:tcPr>
            <w:tcW w:type="dxa" w:w="2011"/>
            <w:vAlign w:val="top"/>
            <w:tcMar>
              <w:top w:w="60" w:type="dxa"/>
              <w:start w:w="90" w:type="dxa"/>
              <w:bottom w:w="60" w:type="dxa"/>
              <w:end w:w="90" w:type="dxa"/>
            </w:tcMar>
          </w:tcPr>
          <w:p>
            <w:pPr>
              <w:keepLines/>
              <w:spacing w:after="0"/>
            </w:pPr>
            <w:r/>
            <w:r>
              <w:rPr>
                <w:rFonts w:ascii="Times New Roman" w:hAnsi="Times New Roman"/>
                <w:sz w:val="17"/>
              </w:rPr>
              <w:t>§ 15 Hauptvertrag</w:t>
            </w:r>
          </w:p>
        </w:tc>
        <w:tc>
          <w:tcPr>
            <w:tcW w:type="dxa" w:w="1911"/>
            <w:vAlign w:val="top"/>
            <w:tcMar>
              <w:top w:w="60" w:type="dxa"/>
              <w:start w:w="90" w:type="dxa"/>
              <w:bottom w:w="60" w:type="dxa"/>
              <w:end w:w="90" w:type="dxa"/>
            </w:tcMar>
          </w:tcPr>
          <w:p>
            <w:pPr>
              <w:keepLines/>
              <w:spacing w:after="0"/>
            </w:pPr>
            <w:r/>
            <w:r>
              <w:rPr>
                <w:rFonts w:ascii="Times New Roman" w:hAnsi="Times New Roman"/>
                <w:sz w:val="17"/>
              </w:rPr>
              <w:t>keine</w:t>
            </w:r>
          </w:p>
        </w:tc>
      </w:tr>
      <w:tr>
        <w:trPr>
          <w:cantSplit/>
        </w:trPr>
        <w:tc>
          <w:tcPr>
            <w:tcW w:type="dxa" w:w="2593"/>
            <w:vAlign w:val="top"/>
            <w:tcMar>
              <w:top w:w="60" w:type="dxa"/>
              <w:start w:w="90" w:type="dxa"/>
              <w:bottom w:w="60" w:type="dxa"/>
              <w:end w:w="90" w:type="dxa"/>
            </w:tcMar>
            <w:shd w:fill="F1F3F3"/>
          </w:tcPr>
          <w:p>
            <w:pPr>
              <w:keepLines/>
              <w:spacing w:after="0"/>
            </w:pPr>
            <w:r/>
            <w:r>
              <w:rPr>
                <w:rFonts w:ascii="Times New Roman" w:hAnsi="Times New Roman"/>
                <w:sz w:val="17"/>
              </w:rPr>
              <w:t>Leistungsumfang</w:t>
            </w:r>
          </w:p>
        </w:tc>
        <w:tc>
          <w:tcPr>
            <w:tcW w:type="dxa" w:w="2556"/>
            <w:vAlign w:val="top"/>
            <w:tcMar>
              <w:top w:w="60" w:type="dxa"/>
              <w:start w:w="90" w:type="dxa"/>
              <w:bottom w:w="60" w:type="dxa"/>
              <w:end w:w="90" w:type="dxa"/>
            </w:tcMar>
            <w:shd w:fill="F1F3F3"/>
          </w:tcPr>
          <w:p>
            <w:pPr>
              <w:keepLines/>
              <w:spacing w:after="0"/>
            </w:pPr>
            <w:r/>
            <w:r>
              <w:rPr>
                <w:rFonts w:ascii="Times New Roman" w:hAnsi="Times New Roman"/>
                <w:sz w:val="17"/>
              </w:rPr>
              <w:t>Betrieb, Wartung, Vor-Ort-Support</w:t>
            </w:r>
          </w:p>
        </w:tc>
        <w:tc>
          <w:tcPr>
            <w:tcW w:type="dxa" w:w="2011"/>
            <w:vAlign w:val="top"/>
            <w:tcMar>
              <w:top w:w="60" w:type="dxa"/>
              <w:start w:w="90" w:type="dxa"/>
              <w:bottom w:w="60" w:type="dxa"/>
              <w:end w:w="90" w:type="dxa"/>
            </w:tcMar>
            <w:shd w:fill="F1F3F3"/>
          </w:tcPr>
          <w:p>
            <w:pPr>
              <w:keepLines/>
              <w:spacing w:after="0"/>
            </w:pPr>
            <w:r/>
            <w:r>
              <w:rPr>
                <w:rFonts w:ascii="Times New Roman" w:hAnsi="Times New Roman"/>
                <w:sz w:val="17"/>
              </w:rPr>
              <w:t>unverändert</w:t>
            </w:r>
          </w:p>
        </w:tc>
        <w:tc>
          <w:tcPr>
            <w:tcW w:type="dxa" w:w="1911"/>
            <w:vAlign w:val="top"/>
            <w:tcMar>
              <w:top w:w="60" w:type="dxa"/>
              <w:start w:w="90" w:type="dxa"/>
              <w:bottom w:w="60" w:type="dxa"/>
              <w:end w:w="90" w:type="dxa"/>
            </w:tcMar>
            <w:shd w:fill="F1F3F3"/>
          </w:tcPr>
          <w:p>
            <w:pPr>
              <w:keepLines/>
              <w:spacing w:after="0"/>
            </w:pPr>
            <w:r/>
            <w:r>
              <w:rPr>
                <w:rFonts w:ascii="Times New Roman" w:hAnsi="Times New Roman"/>
                <w:sz w:val="17"/>
              </w:rPr>
              <w:t>keine</w:t>
            </w:r>
          </w:p>
        </w:tc>
      </w:tr>
    </w:tbl>
    <w:p>
      <w:pPr>
        <w:spacing w:after="0" w:before="40"/>
      </w:pPr>
    </w:p>
    <w:p>
      <w:r>
        <w:t>Weder Altverbindlichkeiten der Insolvenzschuldnerin noch neue Zusatzleistungen werden Gegenstand des öffentlichen Auftrags.</w:t>
      </w:r>
    </w:p>
    <w:p>
      <w:pPr>
        <w:pStyle w:val="Heading1"/>
      </w:pPr>
      <w:r>
        <w:t>3. Übergabekontrolle</w:t>
      </w:r>
    </w:p>
    <w:tbl>
      <w:tblPr>
        <w:tblStyle w:val="TableGrid"/>
        <w:tblW w:type="dxa" w:w="9070"/>
        <w:jc w:val="left"/>
        <w:tblLayout w:type="fixed"/>
        <w:tblLook w:firstColumn="1" w:firstRow="1" w:lastColumn="0" w:lastRow="0" w:noHBand="0" w:noVBand="1" w:val="04A0"/>
      </w:tblPr>
      <w:tblGrid>
        <w:gridCol w:w="1905"/>
        <w:gridCol w:w="2986"/>
        <w:gridCol w:w="1833"/>
        <w:gridCol w:w="2346"/>
      </w:tblGrid>
      <w:tr>
        <w:trPr>
          <w:tblHeader w:val="true"/>
          <w:cantSplit/>
        </w:trPr>
        <w:tc>
          <w:tcPr>
            <w:tcW w:type="dxa" w:w="1905"/>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Kontrollpunkt</w:t>
            </w:r>
          </w:p>
        </w:tc>
        <w:tc>
          <w:tcPr>
            <w:tcW w:type="dxa" w:w="2986"/>
            <w:vAlign w:val="top"/>
            <w:tcMar>
              <w:top w:w="60" w:type="dxa"/>
              <w:start w:w="90" w:type="dxa"/>
              <w:bottom w:w="60" w:type="dxa"/>
              <w:end w:w="90" w:type="dxa"/>
            </w:tcMar>
            <w:shd w:fill="01696F"/>
          </w:tcPr>
          <w:p>
            <w:pPr>
              <w:keepLines/>
              <w:spacing w:after="0"/>
            </w:pPr>
            <w:r/>
            <w:r>
              <w:rPr>
                <w:rFonts w:ascii="Times New Roman" w:hAnsi="Times New Roman"/>
                <w:b/>
                <w:color w:val="FFFFFF"/>
                <w:sz w:val="17"/>
              </w:rPr>
              <w:t>Soll</w:t>
            </w:r>
          </w:p>
        </w:tc>
        <w:tc>
          <w:tcPr>
            <w:tcW w:type="dxa" w:w="1833"/>
            <w:vAlign w:val="top"/>
            <w:tcMar>
              <w:top w:w="60" w:type="dxa"/>
              <w:start w:w="90" w:type="dxa"/>
              <w:bottom w:w="60" w:type="dxa"/>
              <w:end w:w="90" w:type="dxa"/>
            </w:tcMar>
            <w:shd w:fill="01696F"/>
          </w:tcPr>
          <w:p>
            <w:pPr>
              <w:keepLines/>
              <w:spacing w:after="0"/>
            </w:pPr>
            <w:r/>
            <w:r>
              <w:rPr>
                <w:rFonts w:ascii="Times New Roman" w:hAnsi="Times New Roman"/>
                <w:b/>
                <w:color w:val="FFFFFF"/>
                <w:sz w:val="17"/>
              </w:rPr>
              <w:t>Ist am 15.12.2026</w:t>
            </w:r>
          </w:p>
        </w:tc>
        <w:tc>
          <w:tcPr>
            <w:tcW w:type="dxa" w:w="234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Verantwortlich</w:t>
            </w:r>
          </w:p>
        </w:tc>
      </w:tr>
      <w:tr>
        <w:trPr>
          <w:cantSplit/>
        </w:trPr>
        <w:tc>
          <w:tcPr>
            <w:tcW w:type="dxa" w:w="1905"/>
            <w:vAlign w:val="top"/>
            <w:tcMar>
              <w:top w:w="60" w:type="dxa"/>
              <w:start w:w="90" w:type="dxa"/>
              <w:bottom w:w="60" w:type="dxa"/>
              <w:end w:w="90" w:type="dxa"/>
            </w:tcMar>
          </w:tcPr>
          <w:p>
            <w:pPr>
              <w:keepLines/>
              <w:spacing w:after="0"/>
            </w:pPr>
            <w:r/>
            <w:r>
              <w:rPr>
                <w:rFonts w:ascii="Times New Roman" w:hAnsi="Times New Roman"/>
                <w:sz w:val="17"/>
              </w:rPr>
              <w:t>Personal</w:t>
            </w:r>
          </w:p>
        </w:tc>
        <w:tc>
          <w:tcPr>
            <w:tcW w:type="dxa" w:w="2986"/>
            <w:vAlign w:val="top"/>
            <w:tcMar>
              <w:top w:w="60" w:type="dxa"/>
              <w:start w:w="90" w:type="dxa"/>
              <w:bottom w:w="60" w:type="dxa"/>
              <w:end w:w="90" w:type="dxa"/>
            </w:tcMar>
          </w:tcPr>
          <w:p>
            <w:pPr>
              <w:keepLines/>
              <w:spacing w:after="0"/>
            </w:pPr>
            <w:r/>
            <w:r>
              <w:rPr>
                <w:rFonts w:ascii="Times New Roman" w:hAnsi="Times New Roman"/>
                <w:sz w:val="17"/>
              </w:rPr>
              <w:t>alle Schlüsselrollen besetzt</w:t>
            </w:r>
          </w:p>
        </w:tc>
        <w:tc>
          <w:tcPr>
            <w:tcW w:type="dxa" w:w="1833"/>
            <w:vAlign w:val="top"/>
            <w:tcMar>
              <w:top w:w="60" w:type="dxa"/>
              <w:start w:w="90" w:type="dxa"/>
              <w:bottom w:w="60" w:type="dxa"/>
              <w:end w:w="90" w:type="dxa"/>
            </w:tcMar>
          </w:tcPr>
          <w:p>
            <w:pPr>
              <w:keepLines/>
              <w:spacing w:after="0"/>
            </w:pPr>
            <w:r/>
            <w:r>
              <w:rPr>
                <w:rFonts w:ascii="Times New Roman" w:hAnsi="Times New Roman"/>
                <w:sz w:val="17"/>
              </w:rPr>
              <w:t>vollständig</w:t>
            </w:r>
          </w:p>
        </w:tc>
        <w:tc>
          <w:tcPr>
            <w:tcW w:type="dxa" w:w="2346"/>
            <w:vAlign w:val="top"/>
            <w:tcMar>
              <w:top w:w="60" w:type="dxa"/>
              <w:start w:w="90" w:type="dxa"/>
              <w:bottom w:w="60" w:type="dxa"/>
              <w:end w:w="90" w:type="dxa"/>
            </w:tcMar>
          </w:tcPr>
          <w:p>
            <w:pPr>
              <w:keepLines/>
              <w:spacing w:after="0"/>
            </w:pPr>
            <w:r/>
            <w:r>
              <w:rPr>
                <w:rFonts w:ascii="Times New Roman" w:hAnsi="Times New Roman"/>
                <w:sz w:val="17"/>
              </w:rPr>
              <w:t>Fachamt</w:t>
            </w:r>
          </w:p>
        </w:tc>
      </w:tr>
      <w:tr>
        <w:trPr>
          <w:cantSplit/>
        </w:trPr>
        <w:tc>
          <w:tcPr>
            <w:tcW w:type="dxa" w:w="1905"/>
            <w:vAlign w:val="top"/>
            <w:tcMar>
              <w:top w:w="60" w:type="dxa"/>
              <w:start w:w="90" w:type="dxa"/>
              <w:bottom w:w="60" w:type="dxa"/>
              <w:end w:w="90" w:type="dxa"/>
            </w:tcMar>
            <w:shd w:fill="F1F3F3"/>
          </w:tcPr>
          <w:p>
            <w:pPr>
              <w:keepLines/>
              <w:spacing w:after="0"/>
            </w:pPr>
            <w:r/>
            <w:r>
              <w:rPr>
                <w:rFonts w:ascii="Times New Roman" w:hAnsi="Times New Roman"/>
                <w:sz w:val="17"/>
              </w:rPr>
              <w:t>Tickets</w:t>
            </w:r>
          </w:p>
        </w:tc>
        <w:tc>
          <w:tcPr>
            <w:tcW w:type="dxa" w:w="2986"/>
            <w:vAlign w:val="top"/>
            <w:tcMar>
              <w:top w:w="60" w:type="dxa"/>
              <w:start w:w="90" w:type="dxa"/>
              <w:bottom w:w="60" w:type="dxa"/>
              <w:end w:w="90" w:type="dxa"/>
            </w:tcMar>
            <w:shd w:fill="F1F3F3"/>
          </w:tcPr>
          <w:p>
            <w:pPr>
              <w:keepLines/>
              <w:spacing w:after="0"/>
            </w:pPr>
            <w:r/>
            <w:r>
              <w:rPr>
                <w:rFonts w:ascii="Times New Roman" w:hAnsi="Times New Roman"/>
                <w:sz w:val="17"/>
              </w:rPr>
              <w:t>offene Vorgänge ohne Datenverlust übernommen</w:t>
            </w:r>
          </w:p>
        </w:tc>
        <w:tc>
          <w:tcPr>
            <w:tcW w:type="dxa" w:w="1833"/>
            <w:vAlign w:val="top"/>
            <w:tcMar>
              <w:top w:w="60" w:type="dxa"/>
              <w:start w:w="90" w:type="dxa"/>
              <w:bottom w:w="60" w:type="dxa"/>
              <w:end w:w="90" w:type="dxa"/>
            </w:tcMar>
            <w:shd w:fill="F1F3F3"/>
          </w:tcPr>
          <w:p>
            <w:pPr>
              <w:keepLines/>
              <w:spacing w:after="0"/>
            </w:pPr>
            <w:r/>
            <w:r>
              <w:rPr>
                <w:rFonts w:ascii="Times New Roman" w:hAnsi="Times New Roman"/>
                <w:sz w:val="17"/>
              </w:rPr>
              <w:t>146 von 146</w:t>
            </w:r>
          </w:p>
        </w:tc>
        <w:tc>
          <w:tcPr>
            <w:tcW w:type="dxa" w:w="2346"/>
            <w:vAlign w:val="top"/>
            <w:tcMar>
              <w:top w:w="60" w:type="dxa"/>
              <w:start w:w="90" w:type="dxa"/>
              <w:bottom w:w="60" w:type="dxa"/>
              <w:end w:w="90" w:type="dxa"/>
            </w:tcMar>
            <w:shd w:fill="F1F3F3"/>
          </w:tcPr>
          <w:p>
            <w:pPr>
              <w:keepLines/>
              <w:spacing w:after="0"/>
            </w:pPr>
            <w:r/>
            <w:r>
              <w:rPr>
                <w:rFonts w:ascii="Times New Roman" w:hAnsi="Times New Roman"/>
                <w:sz w:val="17"/>
              </w:rPr>
              <w:t>Service Management</w:t>
            </w:r>
          </w:p>
        </w:tc>
      </w:tr>
      <w:tr>
        <w:trPr>
          <w:cantSplit/>
        </w:trPr>
        <w:tc>
          <w:tcPr>
            <w:tcW w:type="dxa" w:w="1905"/>
            <w:vAlign w:val="top"/>
            <w:tcMar>
              <w:top w:w="60" w:type="dxa"/>
              <w:start w:w="90" w:type="dxa"/>
              <w:bottom w:w="60" w:type="dxa"/>
              <w:end w:w="90" w:type="dxa"/>
            </w:tcMar>
          </w:tcPr>
          <w:p>
            <w:pPr>
              <w:keepLines/>
              <w:spacing w:after="0"/>
            </w:pPr>
            <w:r/>
            <w:r>
              <w:rPr>
                <w:rFonts w:ascii="Times New Roman" w:hAnsi="Times New Roman"/>
                <w:sz w:val="17"/>
              </w:rPr>
              <w:t>privilegierte Konten</w:t>
            </w:r>
          </w:p>
        </w:tc>
        <w:tc>
          <w:tcPr>
            <w:tcW w:type="dxa" w:w="2986"/>
            <w:vAlign w:val="top"/>
            <w:tcMar>
              <w:top w:w="60" w:type="dxa"/>
              <w:start w:w="90" w:type="dxa"/>
              <w:bottom w:w="60" w:type="dxa"/>
              <w:end w:w="90" w:type="dxa"/>
            </w:tcMar>
          </w:tcPr>
          <w:p>
            <w:pPr>
              <w:keepLines/>
              <w:spacing w:after="0"/>
            </w:pPr>
            <w:r/>
            <w:r>
              <w:rPr>
                <w:rFonts w:ascii="Times New Roman" w:hAnsi="Times New Roman"/>
                <w:sz w:val="17"/>
              </w:rPr>
              <w:t>alte Konten gesperrt, neue personenbezogen</w:t>
            </w:r>
          </w:p>
        </w:tc>
        <w:tc>
          <w:tcPr>
            <w:tcW w:type="dxa" w:w="1833"/>
            <w:vAlign w:val="top"/>
            <w:tcMar>
              <w:top w:w="60" w:type="dxa"/>
              <w:start w:w="90" w:type="dxa"/>
              <w:bottom w:w="60" w:type="dxa"/>
              <w:end w:w="90" w:type="dxa"/>
            </w:tcMar>
          </w:tcPr>
          <w:p>
            <w:pPr>
              <w:keepLines/>
              <w:spacing w:after="0"/>
            </w:pPr>
            <w:r/>
            <w:r>
              <w:rPr>
                <w:rFonts w:ascii="Times New Roman" w:hAnsi="Times New Roman"/>
                <w:sz w:val="17"/>
              </w:rPr>
              <w:t>bestätigt</w:t>
            </w:r>
          </w:p>
        </w:tc>
        <w:tc>
          <w:tcPr>
            <w:tcW w:type="dxa" w:w="2346"/>
            <w:vAlign w:val="top"/>
            <w:tcMar>
              <w:top w:w="60" w:type="dxa"/>
              <w:start w:w="90" w:type="dxa"/>
              <w:bottom w:w="60" w:type="dxa"/>
              <w:end w:w="90" w:type="dxa"/>
            </w:tcMar>
          </w:tcPr>
          <w:p>
            <w:pPr>
              <w:keepLines/>
              <w:spacing w:after="0"/>
            </w:pPr>
            <w:r/>
            <w:r>
              <w:rPr>
                <w:rFonts w:ascii="Times New Roman" w:hAnsi="Times New Roman"/>
                <w:sz w:val="17"/>
              </w:rPr>
              <w:t>Informationssicherheit</w:t>
            </w:r>
          </w:p>
        </w:tc>
      </w:tr>
      <w:tr>
        <w:trPr>
          <w:cantSplit/>
        </w:trPr>
        <w:tc>
          <w:tcPr>
            <w:tcW w:type="dxa" w:w="1905"/>
            <w:vAlign w:val="top"/>
            <w:tcMar>
              <w:top w:w="60" w:type="dxa"/>
              <w:start w:w="90" w:type="dxa"/>
              <w:bottom w:w="60" w:type="dxa"/>
              <w:end w:w="90" w:type="dxa"/>
            </w:tcMar>
            <w:shd w:fill="F1F3F3"/>
          </w:tcPr>
          <w:p>
            <w:pPr>
              <w:keepLines/>
              <w:spacing w:after="0"/>
            </w:pPr>
            <w:r/>
            <w:r>
              <w:rPr>
                <w:rFonts w:ascii="Times New Roman" w:hAnsi="Times New Roman"/>
                <w:sz w:val="17"/>
              </w:rPr>
              <w:t>Datenschutz</w:t>
            </w:r>
          </w:p>
        </w:tc>
        <w:tc>
          <w:tcPr>
            <w:tcW w:type="dxa" w:w="2986"/>
            <w:vAlign w:val="top"/>
            <w:tcMar>
              <w:top w:w="60" w:type="dxa"/>
              <w:start w:w="90" w:type="dxa"/>
              <w:bottom w:w="60" w:type="dxa"/>
              <w:end w:w="90" w:type="dxa"/>
            </w:tcMar>
            <w:shd w:fill="F1F3F3"/>
          </w:tcPr>
          <w:p>
            <w:pPr>
              <w:keepLines/>
              <w:spacing w:after="0"/>
            </w:pPr>
            <w:r/>
            <w:r>
              <w:rPr>
                <w:rFonts w:ascii="Times New Roman" w:hAnsi="Times New Roman"/>
                <w:sz w:val="17"/>
              </w:rPr>
              <w:t>Auftragsverarbeitung und Unterauftragnehmer aktuell</w:t>
            </w:r>
          </w:p>
        </w:tc>
        <w:tc>
          <w:tcPr>
            <w:tcW w:type="dxa" w:w="1833"/>
            <w:vAlign w:val="top"/>
            <w:tcMar>
              <w:top w:w="60" w:type="dxa"/>
              <w:start w:w="90" w:type="dxa"/>
              <w:bottom w:w="60" w:type="dxa"/>
              <w:end w:w="90" w:type="dxa"/>
            </w:tcMar>
            <w:shd w:fill="F1F3F3"/>
          </w:tcPr>
          <w:p>
            <w:pPr>
              <w:keepLines/>
              <w:spacing w:after="0"/>
            </w:pPr>
            <w:r/>
            <w:r>
              <w:rPr>
                <w:rFonts w:ascii="Times New Roman" w:hAnsi="Times New Roman"/>
                <w:sz w:val="17"/>
              </w:rPr>
              <w:t>bestätigt</w:t>
            </w:r>
          </w:p>
        </w:tc>
        <w:tc>
          <w:tcPr>
            <w:tcW w:type="dxa" w:w="2346"/>
            <w:vAlign w:val="top"/>
            <w:tcMar>
              <w:top w:w="60" w:type="dxa"/>
              <w:start w:w="90" w:type="dxa"/>
              <w:bottom w:w="60" w:type="dxa"/>
              <w:end w:w="90" w:type="dxa"/>
            </w:tcMar>
            <w:shd w:fill="F1F3F3"/>
          </w:tcPr>
          <w:p>
            <w:pPr>
              <w:keepLines/>
              <w:spacing w:after="0"/>
            </w:pPr>
            <w:r/>
            <w:r>
              <w:rPr>
                <w:rFonts w:ascii="Times New Roman" w:hAnsi="Times New Roman"/>
                <w:sz w:val="17"/>
              </w:rPr>
              <w:t>Datenschutzbeauftragte</w:t>
            </w:r>
          </w:p>
        </w:tc>
      </w:tr>
      <w:tr>
        <w:trPr>
          <w:cantSplit/>
        </w:trPr>
        <w:tc>
          <w:tcPr>
            <w:tcW w:type="dxa" w:w="1905"/>
            <w:vAlign w:val="top"/>
            <w:tcMar>
              <w:top w:w="60" w:type="dxa"/>
              <w:start w:w="90" w:type="dxa"/>
              <w:bottom w:w="60" w:type="dxa"/>
              <w:end w:w="90" w:type="dxa"/>
            </w:tcMar>
          </w:tcPr>
          <w:p>
            <w:pPr>
              <w:keepLines/>
              <w:spacing w:after="0"/>
            </w:pPr>
            <w:r/>
            <w:r>
              <w:rPr>
                <w:rFonts w:ascii="Times New Roman" w:hAnsi="Times New Roman"/>
                <w:sz w:val="17"/>
              </w:rPr>
              <w:t>Versicherung</w:t>
            </w:r>
          </w:p>
        </w:tc>
        <w:tc>
          <w:tcPr>
            <w:tcW w:type="dxa" w:w="2986"/>
            <w:vAlign w:val="top"/>
            <w:tcMar>
              <w:top w:w="60" w:type="dxa"/>
              <w:start w:w="90" w:type="dxa"/>
              <w:bottom w:w="60" w:type="dxa"/>
              <w:end w:w="90" w:type="dxa"/>
            </w:tcMar>
          </w:tcPr>
          <w:p>
            <w:pPr>
              <w:keepLines/>
              <w:spacing w:after="0"/>
            </w:pPr>
            <w:r/>
            <w:r>
              <w:rPr>
                <w:rFonts w:ascii="Times New Roman" w:hAnsi="Times New Roman"/>
                <w:sz w:val="17"/>
              </w:rPr>
              <w:t>ursprüngliche Deckungssumme</w:t>
            </w:r>
          </w:p>
        </w:tc>
        <w:tc>
          <w:tcPr>
            <w:tcW w:type="dxa" w:w="1833"/>
            <w:vAlign w:val="top"/>
            <w:tcMar>
              <w:top w:w="60" w:type="dxa"/>
              <w:start w:w="90" w:type="dxa"/>
              <w:bottom w:w="60" w:type="dxa"/>
              <w:end w:w="90" w:type="dxa"/>
            </w:tcMar>
          </w:tcPr>
          <w:p>
            <w:pPr>
              <w:keepLines/>
              <w:spacing w:after="0"/>
            </w:pPr>
            <w:r/>
            <w:r>
              <w:rPr>
                <w:rFonts w:ascii="Times New Roman" w:hAnsi="Times New Roman"/>
                <w:sz w:val="17"/>
              </w:rPr>
              <w:t>Police NSB-2026-771</w:t>
            </w:r>
          </w:p>
        </w:tc>
        <w:tc>
          <w:tcPr>
            <w:tcW w:type="dxa" w:w="2346"/>
            <w:vAlign w:val="top"/>
            <w:tcMar>
              <w:top w:w="60" w:type="dxa"/>
              <w:start w:w="90" w:type="dxa"/>
              <w:bottom w:w="60" w:type="dxa"/>
              <w:end w:w="90" w:type="dxa"/>
            </w:tcMar>
          </w:tcPr>
          <w:p>
            <w:pPr>
              <w:keepLines/>
              <w:spacing w:after="0"/>
            </w:pPr>
            <w:r/>
            <w:r>
              <w:rPr>
                <w:rFonts w:ascii="Times New Roman" w:hAnsi="Times New Roman"/>
                <w:sz w:val="17"/>
              </w:rPr>
              <w:t>Rechtsamt</w:t>
            </w:r>
          </w:p>
        </w:tc>
      </w:tr>
      <w:tr>
        <w:trPr>
          <w:cantSplit/>
        </w:trPr>
        <w:tc>
          <w:tcPr>
            <w:tcW w:type="dxa" w:w="1905"/>
            <w:vAlign w:val="top"/>
            <w:tcMar>
              <w:top w:w="60" w:type="dxa"/>
              <w:start w:w="90" w:type="dxa"/>
              <w:bottom w:w="60" w:type="dxa"/>
              <w:end w:w="90" w:type="dxa"/>
            </w:tcMar>
            <w:shd w:fill="F1F3F3"/>
          </w:tcPr>
          <w:p>
            <w:pPr>
              <w:keepLines/>
              <w:spacing w:after="0"/>
            </w:pPr>
            <w:r/>
            <w:r>
              <w:rPr>
                <w:rFonts w:ascii="Times New Roman" w:hAnsi="Times New Roman"/>
                <w:sz w:val="17"/>
              </w:rPr>
              <w:t>Notfallübung</w:t>
            </w:r>
          </w:p>
        </w:tc>
        <w:tc>
          <w:tcPr>
            <w:tcW w:type="dxa" w:w="2986"/>
            <w:vAlign w:val="top"/>
            <w:tcMar>
              <w:top w:w="60" w:type="dxa"/>
              <w:start w:w="90" w:type="dxa"/>
              <w:bottom w:w="60" w:type="dxa"/>
              <w:end w:w="90" w:type="dxa"/>
            </w:tcMar>
            <w:shd w:fill="F1F3F3"/>
          </w:tcPr>
          <w:p>
            <w:pPr>
              <w:keepLines/>
              <w:spacing w:after="0"/>
            </w:pPr>
            <w:r/>
            <w:r>
              <w:rPr>
                <w:rFonts w:ascii="Times New Roman" w:hAnsi="Times New Roman"/>
                <w:sz w:val="17"/>
              </w:rPr>
              <w:t>Wiederanlauf innerhalb SLA</w:t>
            </w:r>
          </w:p>
        </w:tc>
        <w:tc>
          <w:tcPr>
            <w:tcW w:type="dxa" w:w="1833"/>
            <w:vAlign w:val="top"/>
            <w:tcMar>
              <w:top w:w="60" w:type="dxa"/>
              <w:start w:w="90" w:type="dxa"/>
              <w:bottom w:w="60" w:type="dxa"/>
              <w:end w:w="90" w:type="dxa"/>
            </w:tcMar>
            <w:shd w:fill="F1F3F3"/>
          </w:tcPr>
          <w:p>
            <w:pPr>
              <w:keepLines/>
              <w:spacing w:after="0"/>
            </w:pPr>
            <w:r/>
            <w:r>
              <w:rPr>
                <w:rFonts w:ascii="Times New Roman" w:hAnsi="Times New Roman"/>
                <w:sz w:val="17"/>
              </w:rPr>
              <w:t>Termin 22.12.2026</w:t>
            </w:r>
          </w:p>
        </w:tc>
        <w:tc>
          <w:tcPr>
            <w:tcW w:type="dxa" w:w="2346"/>
            <w:vAlign w:val="top"/>
            <w:tcMar>
              <w:top w:w="60" w:type="dxa"/>
              <w:start w:w="90" w:type="dxa"/>
              <w:bottom w:w="60" w:type="dxa"/>
              <w:end w:w="90" w:type="dxa"/>
            </w:tcMar>
            <w:shd w:fill="F1F3F3"/>
          </w:tcPr>
          <w:p>
            <w:pPr>
              <w:keepLines/>
              <w:spacing w:after="0"/>
            </w:pPr>
            <w:r/>
            <w:r>
              <w:rPr>
                <w:rFonts w:ascii="Times New Roman" w:hAnsi="Times New Roman"/>
                <w:sz w:val="17"/>
              </w:rPr>
              <w:t>Krisenstab</w:t>
            </w:r>
          </w:p>
        </w:tc>
      </w:tr>
    </w:tbl>
    <w:p>
      <w:pPr>
        <w:spacing w:after="0" w:before="40"/>
      </w:pPr>
    </w:p>
    <w:p>
      <w:pPr>
        <w:pStyle w:val="Heading1"/>
      </w:pPr>
      <w:r>
        <w:t>4. Acht-Wochen-Monitoring</w:t>
      </w:r>
    </w:p>
    <w:p>
      <w:pPr>
        <w:keepNext/>
        <w:keepLines/>
      </w:pPr>
      <w:r>
        <w:t>In den ersten acht Vertragswochen prüft die Stadt wöchentlich Ticketbestand, Reaktionszeiten, Personalabdeckung, Sicherheitsvorfälle und offene Übernahmerisiken. Abweichungen werden nicht stillschweigend durch neue Vergütung oder verlängerte Fristen kompensiert. Jede Änderungsanforderung erhält vor Beauftragung eine eigenständige Prüfung nach § 132 GWB.</w:t>
      </w:r>
    </w:p>
    <w:tbl>
      <w:tblPr>
        <w:tblStyle w:val="TableGrid"/>
        <w:tblW w:type="dxa" w:w="9070"/>
        <w:jc w:val="left"/>
        <w:tblLayout w:type="fixed"/>
        <w:tblLook w:firstColumn="1" w:firstRow="1" w:lastColumn="0" w:lastRow="0" w:noHBand="0" w:noVBand="1" w:val="04A0"/>
      </w:tblPr>
      <w:tblGrid>
        <w:gridCol w:w="1664"/>
        <w:gridCol w:w="2324"/>
        <w:gridCol w:w="2571"/>
        <w:gridCol w:w="2511"/>
      </w:tblGrid>
      <w:tr>
        <w:trPr>
          <w:tblHeader w:val="true"/>
          <w:cantSplit/>
        </w:trPr>
        <w:tc>
          <w:tcPr>
            <w:tcW w:type="dxa" w:w="1664"/>
            <w:vAlign w:val="top"/>
            <w:tcMar>
              <w:top w:w="60" w:type="dxa"/>
              <w:start w:w="90" w:type="dxa"/>
              <w:bottom w:w="60" w:type="dxa"/>
              <w:end w:w="90" w:type="dxa"/>
            </w:tcMar>
            <w:shd w:fill="01696F"/>
          </w:tcPr>
          <w:p>
            <w:pPr>
              <w:keepLines/>
              <w:spacing w:after="0"/>
            </w:pPr>
            <w:r/>
            <w:r>
              <w:rPr>
                <w:rFonts w:ascii="Times New Roman" w:hAnsi="Times New Roman"/>
                <w:b/>
                <w:color w:val="FFFFFF"/>
                <w:sz w:val="17"/>
              </w:rPr>
              <w:t>Woche</w:t>
            </w:r>
          </w:p>
        </w:tc>
        <w:tc>
          <w:tcPr>
            <w:tcW w:type="dxa" w:w="23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Schwerpunkt</w:t>
            </w:r>
          </w:p>
        </w:tc>
        <w:tc>
          <w:tcPr>
            <w:tcW w:type="dxa" w:w="257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Abnahmekriterium</w:t>
            </w:r>
          </w:p>
        </w:tc>
        <w:tc>
          <w:tcPr>
            <w:tcW w:type="dxa" w:w="25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Eskalation</w:t>
            </w:r>
          </w:p>
        </w:tc>
      </w:tr>
      <w:tr>
        <w:trPr>
          <w:cantSplit/>
        </w:trPr>
        <w:tc>
          <w:tcPr>
            <w:tcW w:type="dxa" w:w="1664"/>
            <w:vAlign w:val="top"/>
            <w:tcMar>
              <w:top w:w="60" w:type="dxa"/>
              <w:start w:w="90" w:type="dxa"/>
              <w:bottom w:w="60" w:type="dxa"/>
              <w:end w:w="90" w:type="dxa"/>
            </w:tcMar>
          </w:tcPr>
          <w:p>
            <w:pPr>
              <w:keepLines/>
              <w:spacing w:after="0"/>
            </w:pPr>
            <w:r/>
            <w:r>
              <w:rPr>
                <w:rFonts w:ascii="Times New Roman" w:hAnsi="Times New Roman"/>
                <w:sz w:val="17"/>
              </w:rPr>
              <w:t>1</w:t>
            </w:r>
          </w:p>
        </w:tc>
        <w:tc>
          <w:tcPr>
            <w:tcW w:type="dxa" w:w="2324"/>
            <w:vAlign w:val="top"/>
            <w:tcMar>
              <w:top w:w="60" w:type="dxa"/>
              <w:start w:w="90" w:type="dxa"/>
              <w:bottom w:w="60" w:type="dxa"/>
              <w:end w:w="90" w:type="dxa"/>
            </w:tcMar>
          </w:tcPr>
          <w:p>
            <w:pPr>
              <w:keepLines/>
              <w:spacing w:after="0"/>
            </w:pPr>
            <w:r/>
            <w:r>
              <w:rPr>
                <w:rFonts w:ascii="Times New Roman" w:hAnsi="Times New Roman"/>
                <w:sz w:val="17"/>
              </w:rPr>
              <w:t>Ticket- und Wissensübernahme</w:t>
            </w:r>
          </w:p>
        </w:tc>
        <w:tc>
          <w:tcPr>
            <w:tcW w:type="dxa" w:w="2571"/>
            <w:vAlign w:val="top"/>
            <w:tcMar>
              <w:top w:w="60" w:type="dxa"/>
              <w:start w:w="90" w:type="dxa"/>
              <w:bottom w:w="60" w:type="dxa"/>
              <w:end w:w="90" w:type="dxa"/>
            </w:tcMar>
          </w:tcPr>
          <w:p>
            <w:pPr>
              <w:keepLines/>
              <w:spacing w:after="0"/>
            </w:pPr>
            <w:r/>
            <w:r>
              <w:rPr>
                <w:rFonts w:ascii="Times New Roman" w:hAnsi="Times New Roman"/>
                <w:sz w:val="17"/>
              </w:rPr>
              <w:t>Bestand vollständig und Stichprobe fehlerfrei</w:t>
            </w:r>
          </w:p>
        </w:tc>
        <w:tc>
          <w:tcPr>
            <w:tcW w:type="dxa" w:w="2511"/>
            <w:vAlign w:val="top"/>
            <w:tcMar>
              <w:top w:w="60" w:type="dxa"/>
              <w:start w:w="90" w:type="dxa"/>
              <w:bottom w:w="60" w:type="dxa"/>
              <w:end w:w="90" w:type="dxa"/>
            </w:tcMar>
          </w:tcPr>
          <w:p>
            <w:pPr>
              <w:keepLines/>
              <w:spacing w:after="0"/>
            </w:pPr>
            <w:r/>
            <w:r>
              <w:rPr>
                <w:rFonts w:ascii="Times New Roman" w:hAnsi="Times New Roman"/>
                <w:sz w:val="17"/>
              </w:rPr>
              <w:t>tägliche Lage an Fachamtsleitung</w:t>
            </w:r>
          </w:p>
        </w:tc>
      </w:tr>
      <w:tr>
        <w:trPr>
          <w:cantSplit/>
        </w:trPr>
        <w:tc>
          <w:tcPr>
            <w:tcW w:type="dxa" w:w="1664"/>
            <w:vAlign w:val="top"/>
            <w:tcMar>
              <w:top w:w="60" w:type="dxa"/>
              <w:start w:w="90" w:type="dxa"/>
              <w:bottom w:w="60" w:type="dxa"/>
              <w:end w:w="90" w:type="dxa"/>
            </w:tcMar>
            <w:shd w:fill="F1F3F3"/>
          </w:tcPr>
          <w:p>
            <w:pPr>
              <w:keepLines/>
              <w:spacing w:after="0"/>
            </w:pPr>
            <w:r/>
            <w:r>
              <w:rPr>
                <w:rFonts w:ascii="Times New Roman" w:hAnsi="Times New Roman"/>
                <w:sz w:val="17"/>
              </w:rPr>
              <w:t>2</w:t>
            </w:r>
          </w:p>
        </w:tc>
        <w:tc>
          <w:tcPr>
            <w:tcW w:type="dxa" w:w="2324"/>
            <w:vAlign w:val="top"/>
            <w:tcMar>
              <w:top w:w="60" w:type="dxa"/>
              <w:start w:w="90" w:type="dxa"/>
              <w:bottom w:w="60" w:type="dxa"/>
              <w:end w:w="90" w:type="dxa"/>
            </w:tcMar>
            <w:shd w:fill="F1F3F3"/>
          </w:tcPr>
          <w:p>
            <w:pPr>
              <w:keepLines/>
              <w:spacing w:after="0"/>
            </w:pPr>
            <w:r/>
            <w:r>
              <w:rPr>
                <w:rFonts w:ascii="Times New Roman" w:hAnsi="Times New Roman"/>
                <w:sz w:val="17"/>
              </w:rPr>
              <w:t>Rufbereitschaft und Personal</w:t>
            </w:r>
          </w:p>
        </w:tc>
        <w:tc>
          <w:tcPr>
            <w:tcW w:type="dxa" w:w="2571"/>
            <w:vAlign w:val="top"/>
            <w:tcMar>
              <w:top w:w="60" w:type="dxa"/>
              <w:start w:w="90" w:type="dxa"/>
              <w:bottom w:w="60" w:type="dxa"/>
              <w:end w:w="90" w:type="dxa"/>
            </w:tcMar>
            <w:shd w:fill="F1F3F3"/>
          </w:tcPr>
          <w:p>
            <w:pPr>
              <w:keepLines/>
              <w:spacing w:after="0"/>
            </w:pPr>
            <w:r/>
            <w:r>
              <w:rPr>
                <w:rFonts w:ascii="Times New Roman" w:hAnsi="Times New Roman"/>
                <w:sz w:val="17"/>
              </w:rPr>
              <w:t>alle Schichten und Vertretungen besetzt</w:t>
            </w:r>
          </w:p>
        </w:tc>
        <w:tc>
          <w:tcPr>
            <w:tcW w:type="dxa" w:w="2511"/>
            <w:vAlign w:val="top"/>
            <w:tcMar>
              <w:top w:w="60" w:type="dxa"/>
              <w:start w:w="90" w:type="dxa"/>
              <w:bottom w:w="60" w:type="dxa"/>
              <w:end w:w="90" w:type="dxa"/>
            </w:tcMar>
            <w:shd w:fill="F1F3F3"/>
          </w:tcPr>
          <w:p>
            <w:pPr>
              <w:keepLines/>
              <w:spacing w:after="0"/>
            </w:pPr>
            <w:r/>
            <w:r>
              <w:rPr>
                <w:rFonts w:ascii="Times New Roman" w:hAnsi="Times New Roman"/>
                <w:sz w:val="17"/>
              </w:rPr>
              <w:t>Ersatzpersonal binnen 24 Stunden</w:t>
            </w:r>
          </w:p>
        </w:tc>
      </w:tr>
      <w:tr>
        <w:trPr>
          <w:cantSplit/>
        </w:trPr>
        <w:tc>
          <w:tcPr>
            <w:tcW w:type="dxa" w:w="1664"/>
            <w:vAlign w:val="top"/>
            <w:tcMar>
              <w:top w:w="60" w:type="dxa"/>
              <w:start w:w="90" w:type="dxa"/>
              <w:bottom w:w="60" w:type="dxa"/>
              <w:end w:w="90" w:type="dxa"/>
            </w:tcMar>
          </w:tcPr>
          <w:p>
            <w:pPr>
              <w:keepLines/>
              <w:spacing w:after="0"/>
            </w:pPr>
            <w:r/>
            <w:r>
              <w:rPr>
                <w:rFonts w:ascii="Times New Roman" w:hAnsi="Times New Roman"/>
                <w:sz w:val="17"/>
              </w:rPr>
              <w:t>3</w:t>
            </w:r>
          </w:p>
        </w:tc>
        <w:tc>
          <w:tcPr>
            <w:tcW w:type="dxa" w:w="2324"/>
            <w:vAlign w:val="top"/>
            <w:tcMar>
              <w:top w:w="60" w:type="dxa"/>
              <w:start w:w="90" w:type="dxa"/>
              <w:bottom w:w="60" w:type="dxa"/>
              <w:end w:w="90" w:type="dxa"/>
            </w:tcMar>
          </w:tcPr>
          <w:p>
            <w:pPr>
              <w:keepLines/>
              <w:spacing w:after="0"/>
            </w:pPr>
            <w:r/>
            <w:r>
              <w:rPr>
                <w:rFonts w:ascii="Times New Roman" w:hAnsi="Times New Roman"/>
                <w:sz w:val="17"/>
              </w:rPr>
              <w:t>privilegierte Zugriffe</w:t>
            </w:r>
          </w:p>
        </w:tc>
        <w:tc>
          <w:tcPr>
            <w:tcW w:type="dxa" w:w="2571"/>
            <w:vAlign w:val="top"/>
            <w:tcMar>
              <w:top w:w="60" w:type="dxa"/>
              <w:start w:w="90" w:type="dxa"/>
              <w:bottom w:w="60" w:type="dxa"/>
              <w:end w:w="90" w:type="dxa"/>
            </w:tcMar>
          </w:tcPr>
          <w:p>
            <w:pPr>
              <w:keepLines/>
              <w:spacing w:after="0"/>
            </w:pPr>
            <w:r/>
            <w:r>
              <w:rPr>
                <w:rFonts w:ascii="Times New Roman" w:hAnsi="Times New Roman"/>
                <w:sz w:val="17"/>
              </w:rPr>
              <w:t>keine Altkennung aktiv, Protokolle vollständig</w:t>
            </w:r>
          </w:p>
        </w:tc>
        <w:tc>
          <w:tcPr>
            <w:tcW w:type="dxa" w:w="2511"/>
            <w:vAlign w:val="top"/>
            <w:tcMar>
              <w:top w:w="60" w:type="dxa"/>
              <w:start w:w="90" w:type="dxa"/>
              <w:bottom w:w="60" w:type="dxa"/>
              <w:end w:w="90" w:type="dxa"/>
            </w:tcMar>
          </w:tcPr>
          <w:p>
            <w:pPr>
              <w:keepLines/>
              <w:spacing w:after="0"/>
            </w:pPr>
            <w:r/>
            <w:r>
              <w:rPr>
                <w:rFonts w:ascii="Times New Roman" w:hAnsi="Times New Roman"/>
                <w:sz w:val="17"/>
              </w:rPr>
              <w:t>sofortige Sperre und Sicherheitsmeldung</w:t>
            </w:r>
          </w:p>
        </w:tc>
      </w:tr>
      <w:tr>
        <w:trPr>
          <w:cantSplit/>
        </w:trPr>
        <w:tc>
          <w:tcPr>
            <w:tcW w:type="dxa" w:w="1664"/>
            <w:vAlign w:val="top"/>
            <w:tcMar>
              <w:top w:w="60" w:type="dxa"/>
              <w:start w:w="90" w:type="dxa"/>
              <w:bottom w:w="60" w:type="dxa"/>
              <w:end w:w="90" w:type="dxa"/>
            </w:tcMar>
            <w:shd w:fill="F1F3F3"/>
          </w:tcPr>
          <w:p>
            <w:pPr>
              <w:keepLines/>
              <w:spacing w:after="0"/>
            </w:pPr>
            <w:r/>
            <w:r>
              <w:rPr>
                <w:rFonts w:ascii="Times New Roman" w:hAnsi="Times New Roman"/>
                <w:sz w:val="17"/>
              </w:rPr>
              <w:t>4</w:t>
            </w:r>
          </w:p>
        </w:tc>
        <w:tc>
          <w:tcPr>
            <w:tcW w:type="dxa" w:w="2324"/>
            <w:vAlign w:val="top"/>
            <w:tcMar>
              <w:top w:w="60" w:type="dxa"/>
              <w:start w:w="90" w:type="dxa"/>
              <w:bottom w:w="60" w:type="dxa"/>
              <w:end w:w="90" w:type="dxa"/>
            </w:tcMar>
            <w:shd w:fill="F1F3F3"/>
          </w:tcPr>
          <w:p>
            <w:pPr>
              <w:keepLines/>
              <w:spacing w:after="0"/>
            </w:pPr>
            <w:r/>
            <w:r>
              <w:rPr>
                <w:rFonts w:ascii="Times New Roman" w:hAnsi="Times New Roman"/>
                <w:sz w:val="17"/>
              </w:rPr>
              <w:t>Service Levels</w:t>
            </w:r>
          </w:p>
        </w:tc>
        <w:tc>
          <w:tcPr>
            <w:tcW w:type="dxa" w:w="2571"/>
            <w:vAlign w:val="top"/>
            <w:tcMar>
              <w:top w:w="60" w:type="dxa"/>
              <w:start w:w="90" w:type="dxa"/>
              <w:bottom w:w="60" w:type="dxa"/>
              <w:end w:w="90" w:type="dxa"/>
            </w:tcMar>
            <w:shd w:fill="F1F3F3"/>
          </w:tcPr>
          <w:p>
            <w:pPr>
              <w:keepLines/>
              <w:spacing w:after="0"/>
            </w:pPr>
            <w:r/>
            <w:r>
              <w:rPr>
                <w:rFonts w:ascii="Times New Roman" w:hAnsi="Times New Roman"/>
                <w:sz w:val="17"/>
              </w:rPr>
              <w:t>mindestens 95 Prozent fristgerecht</w:t>
            </w:r>
          </w:p>
        </w:tc>
        <w:tc>
          <w:tcPr>
            <w:tcW w:type="dxa" w:w="2511"/>
            <w:vAlign w:val="top"/>
            <w:tcMar>
              <w:top w:w="60" w:type="dxa"/>
              <w:start w:w="90" w:type="dxa"/>
              <w:bottom w:w="60" w:type="dxa"/>
              <w:end w:w="90" w:type="dxa"/>
            </w:tcMar>
            <w:shd w:fill="F1F3F3"/>
          </w:tcPr>
          <w:p>
            <w:pPr>
              <w:keepLines/>
              <w:spacing w:after="0"/>
            </w:pPr>
            <w:r/>
            <w:r>
              <w:rPr>
                <w:rFonts w:ascii="Times New Roman" w:hAnsi="Times New Roman"/>
                <w:sz w:val="17"/>
              </w:rPr>
              <w:t>Maßnahmenplan binnen zwei Arbeitstagen</w:t>
            </w:r>
          </w:p>
        </w:tc>
      </w:tr>
      <w:tr>
        <w:trPr>
          <w:cantSplit/>
        </w:trPr>
        <w:tc>
          <w:tcPr>
            <w:tcW w:type="dxa" w:w="1664"/>
            <w:vAlign w:val="top"/>
            <w:tcMar>
              <w:top w:w="60" w:type="dxa"/>
              <w:start w:w="90" w:type="dxa"/>
              <w:bottom w:w="60" w:type="dxa"/>
              <w:end w:w="90" w:type="dxa"/>
            </w:tcMar>
          </w:tcPr>
          <w:p>
            <w:pPr>
              <w:keepLines/>
              <w:spacing w:after="0"/>
            </w:pPr>
            <w:r/>
            <w:r>
              <w:rPr>
                <w:rFonts w:ascii="Times New Roman" w:hAnsi="Times New Roman"/>
                <w:sz w:val="17"/>
              </w:rPr>
              <w:t>5</w:t>
            </w:r>
          </w:p>
        </w:tc>
        <w:tc>
          <w:tcPr>
            <w:tcW w:type="dxa" w:w="2324"/>
            <w:vAlign w:val="top"/>
            <w:tcMar>
              <w:top w:w="60" w:type="dxa"/>
              <w:start w:w="90" w:type="dxa"/>
              <w:bottom w:w="60" w:type="dxa"/>
              <w:end w:w="90" w:type="dxa"/>
            </w:tcMar>
          </w:tcPr>
          <w:p>
            <w:pPr>
              <w:keepLines/>
              <w:spacing w:after="0"/>
            </w:pPr>
            <w:r/>
            <w:r>
              <w:rPr>
                <w:rFonts w:ascii="Times New Roman" w:hAnsi="Times New Roman"/>
                <w:sz w:val="17"/>
              </w:rPr>
              <w:t>Unterauftragnehmer und Datenschutz</w:t>
            </w:r>
          </w:p>
        </w:tc>
        <w:tc>
          <w:tcPr>
            <w:tcW w:type="dxa" w:w="2571"/>
            <w:vAlign w:val="top"/>
            <w:tcMar>
              <w:top w:w="60" w:type="dxa"/>
              <w:start w:w="90" w:type="dxa"/>
              <w:bottom w:w="60" w:type="dxa"/>
              <w:end w:w="90" w:type="dxa"/>
            </w:tcMar>
          </w:tcPr>
          <w:p>
            <w:pPr>
              <w:keepLines/>
              <w:spacing w:after="0"/>
            </w:pPr>
            <w:r/>
            <w:r>
              <w:rPr>
                <w:rFonts w:ascii="Times New Roman" w:hAnsi="Times New Roman"/>
                <w:sz w:val="17"/>
              </w:rPr>
              <w:t>Register und Weisungskette aktuell</w:t>
            </w:r>
          </w:p>
        </w:tc>
        <w:tc>
          <w:tcPr>
            <w:tcW w:type="dxa" w:w="2511"/>
            <w:vAlign w:val="top"/>
            <w:tcMar>
              <w:top w:w="60" w:type="dxa"/>
              <w:start w:w="90" w:type="dxa"/>
              <w:bottom w:w="60" w:type="dxa"/>
              <w:end w:w="90" w:type="dxa"/>
            </w:tcMar>
          </w:tcPr>
          <w:p>
            <w:pPr>
              <w:keepLines/>
              <w:spacing w:after="0"/>
            </w:pPr>
            <w:r/>
            <w:r>
              <w:rPr>
                <w:rFonts w:ascii="Times New Roman" w:hAnsi="Times New Roman"/>
                <w:sz w:val="17"/>
              </w:rPr>
              <w:t>Einsatzstopp für ungeprüfte Stellen</w:t>
            </w:r>
          </w:p>
        </w:tc>
      </w:tr>
      <w:tr>
        <w:trPr>
          <w:cantSplit/>
        </w:trPr>
        <w:tc>
          <w:tcPr>
            <w:tcW w:type="dxa" w:w="1664"/>
            <w:vAlign w:val="top"/>
            <w:tcMar>
              <w:top w:w="60" w:type="dxa"/>
              <w:start w:w="90" w:type="dxa"/>
              <w:bottom w:w="60" w:type="dxa"/>
              <w:end w:w="90" w:type="dxa"/>
            </w:tcMar>
            <w:shd w:fill="F1F3F3"/>
          </w:tcPr>
          <w:p>
            <w:pPr>
              <w:keepLines/>
              <w:spacing w:after="0"/>
            </w:pPr>
            <w:r/>
            <w:r>
              <w:rPr>
                <w:rFonts w:ascii="Times New Roman" w:hAnsi="Times New Roman"/>
                <w:sz w:val="17"/>
              </w:rPr>
              <w:t>6</w:t>
            </w:r>
          </w:p>
        </w:tc>
        <w:tc>
          <w:tcPr>
            <w:tcW w:type="dxa" w:w="2324"/>
            <w:vAlign w:val="top"/>
            <w:tcMar>
              <w:top w:w="60" w:type="dxa"/>
              <w:start w:w="90" w:type="dxa"/>
              <w:bottom w:w="60" w:type="dxa"/>
              <w:end w:w="90" w:type="dxa"/>
            </w:tcMar>
            <w:shd w:fill="F1F3F3"/>
          </w:tcPr>
          <w:p>
            <w:pPr>
              <w:keepLines/>
              <w:spacing w:after="0"/>
            </w:pPr>
            <w:r/>
            <w:r>
              <w:rPr>
                <w:rFonts w:ascii="Times New Roman" w:hAnsi="Times New Roman"/>
                <w:sz w:val="17"/>
              </w:rPr>
              <w:t>Notfall- und Wiederanlaufprobe</w:t>
            </w:r>
          </w:p>
        </w:tc>
        <w:tc>
          <w:tcPr>
            <w:tcW w:type="dxa" w:w="2571"/>
            <w:vAlign w:val="top"/>
            <w:tcMar>
              <w:top w:w="60" w:type="dxa"/>
              <w:start w:w="90" w:type="dxa"/>
              <w:bottom w:w="60" w:type="dxa"/>
              <w:end w:w="90" w:type="dxa"/>
            </w:tcMar>
            <w:shd w:fill="F1F3F3"/>
          </w:tcPr>
          <w:p>
            <w:pPr>
              <w:keepLines/>
              <w:spacing w:after="0"/>
            </w:pPr>
            <w:r/>
            <w:r>
              <w:rPr>
                <w:rFonts w:ascii="Times New Roman" w:hAnsi="Times New Roman"/>
                <w:sz w:val="17"/>
              </w:rPr>
              <w:t>SLA-Zeit und Datenintegrität eingehalten</w:t>
            </w:r>
          </w:p>
        </w:tc>
        <w:tc>
          <w:tcPr>
            <w:tcW w:type="dxa" w:w="2511"/>
            <w:vAlign w:val="top"/>
            <w:tcMar>
              <w:top w:w="60" w:type="dxa"/>
              <w:start w:w="90" w:type="dxa"/>
              <w:bottom w:w="60" w:type="dxa"/>
              <w:end w:w="90" w:type="dxa"/>
            </w:tcMar>
            <w:shd w:fill="F1F3F3"/>
          </w:tcPr>
          <w:p>
            <w:pPr>
              <w:keepLines/>
              <w:spacing w:after="0"/>
            </w:pPr>
            <w:r/>
            <w:r>
              <w:rPr>
                <w:rFonts w:ascii="Times New Roman" w:hAnsi="Times New Roman"/>
                <w:sz w:val="17"/>
              </w:rPr>
              <w:t>Wiederholungsübung binnen sieben Tagen</w:t>
            </w:r>
          </w:p>
        </w:tc>
      </w:tr>
      <w:tr>
        <w:trPr>
          <w:cantSplit/>
        </w:trPr>
        <w:tc>
          <w:tcPr>
            <w:tcW w:type="dxa" w:w="1664"/>
            <w:vAlign w:val="top"/>
            <w:tcMar>
              <w:top w:w="60" w:type="dxa"/>
              <w:start w:w="90" w:type="dxa"/>
              <w:bottom w:w="60" w:type="dxa"/>
              <w:end w:w="90" w:type="dxa"/>
            </w:tcMar>
          </w:tcPr>
          <w:p>
            <w:pPr>
              <w:keepLines/>
              <w:spacing w:after="0"/>
            </w:pPr>
            <w:r/>
            <w:r>
              <w:rPr>
                <w:rFonts w:ascii="Times New Roman" w:hAnsi="Times New Roman"/>
                <w:sz w:val="17"/>
              </w:rPr>
              <w:t>7</w:t>
            </w:r>
          </w:p>
        </w:tc>
        <w:tc>
          <w:tcPr>
            <w:tcW w:type="dxa" w:w="2324"/>
            <w:vAlign w:val="top"/>
            <w:tcMar>
              <w:top w:w="60" w:type="dxa"/>
              <w:start w:w="90" w:type="dxa"/>
              <w:bottom w:w="60" w:type="dxa"/>
              <w:end w:w="90" w:type="dxa"/>
            </w:tcMar>
          </w:tcPr>
          <w:p>
            <w:pPr>
              <w:keepLines/>
              <w:spacing w:after="0"/>
            </w:pPr>
            <w:r/>
            <w:r>
              <w:rPr>
                <w:rFonts w:ascii="Times New Roman" w:hAnsi="Times New Roman"/>
                <w:sz w:val="17"/>
              </w:rPr>
              <w:t>Abrechnung und Leistungsidentität</w:t>
            </w:r>
          </w:p>
        </w:tc>
        <w:tc>
          <w:tcPr>
            <w:tcW w:type="dxa" w:w="2571"/>
            <w:vAlign w:val="top"/>
            <w:tcMar>
              <w:top w:w="60" w:type="dxa"/>
              <w:start w:w="90" w:type="dxa"/>
              <w:bottom w:w="60" w:type="dxa"/>
              <w:end w:w="90" w:type="dxa"/>
            </w:tcMar>
          </w:tcPr>
          <w:p>
            <w:pPr>
              <w:keepLines/>
              <w:spacing w:after="0"/>
            </w:pPr>
            <w:r/>
            <w:r>
              <w:rPr>
                <w:rFonts w:ascii="Times New Roman" w:hAnsi="Times New Roman"/>
                <w:sz w:val="17"/>
              </w:rPr>
              <w:t>nur unveränderte Vertragspositionen</w:t>
            </w:r>
          </w:p>
        </w:tc>
        <w:tc>
          <w:tcPr>
            <w:tcW w:type="dxa" w:w="2511"/>
            <w:vAlign w:val="top"/>
            <w:tcMar>
              <w:top w:w="60" w:type="dxa"/>
              <w:start w:w="90" w:type="dxa"/>
              <w:bottom w:w="60" w:type="dxa"/>
              <w:end w:w="90" w:type="dxa"/>
            </w:tcMar>
          </w:tcPr>
          <w:p>
            <w:pPr>
              <w:keepLines/>
              <w:spacing w:after="0"/>
            </w:pPr>
            <w:r/>
            <w:r>
              <w:rPr>
                <w:rFonts w:ascii="Times New Roman" w:hAnsi="Times New Roman"/>
                <w:sz w:val="17"/>
              </w:rPr>
              <w:t>Prüfung nach § 132 GWB vor jeder Abweichung</w:t>
            </w:r>
          </w:p>
        </w:tc>
      </w:tr>
      <w:tr>
        <w:trPr>
          <w:cantSplit/>
        </w:trPr>
        <w:tc>
          <w:tcPr>
            <w:tcW w:type="dxa" w:w="1664"/>
            <w:vAlign w:val="top"/>
            <w:tcMar>
              <w:top w:w="60" w:type="dxa"/>
              <w:start w:w="90" w:type="dxa"/>
              <w:bottom w:w="60" w:type="dxa"/>
              <w:end w:w="90" w:type="dxa"/>
            </w:tcMar>
            <w:shd w:fill="F1F3F3"/>
          </w:tcPr>
          <w:p>
            <w:pPr>
              <w:keepLines/>
              <w:spacing w:after="0"/>
            </w:pPr>
            <w:r/>
            <w:r>
              <w:rPr>
                <w:rFonts w:ascii="Times New Roman" w:hAnsi="Times New Roman"/>
                <w:sz w:val="17"/>
              </w:rPr>
              <w:t>8</w:t>
            </w:r>
          </w:p>
        </w:tc>
        <w:tc>
          <w:tcPr>
            <w:tcW w:type="dxa" w:w="2324"/>
            <w:vAlign w:val="top"/>
            <w:tcMar>
              <w:top w:w="60" w:type="dxa"/>
              <w:start w:w="90" w:type="dxa"/>
              <w:bottom w:w="60" w:type="dxa"/>
              <w:end w:w="90" w:type="dxa"/>
            </w:tcMar>
            <w:shd w:fill="F1F3F3"/>
          </w:tcPr>
          <w:p>
            <w:pPr>
              <w:keepLines/>
              <w:spacing w:after="0"/>
            </w:pPr>
            <w:r/>
            <w:r>
              <w:rPr>
                <w:rFonts w:ascii="Times New Roman" w:hAnsi="Times New Roman"/>
                <w:sz w:val="17"/>
              </w:rPr>
              <w:t>Abschlussreview</w:t>
            </w:r>
          </w:p>
        </w:tc>
        <w:tc>
          <w:tcPr>
            <w:tcW w:type="dxa" w:w="2571"/>
            <w:vAlign w:val="top"/>
            <w:tcMar>
              <w:top w:w="60" w:type="dxa"/>
              <w:start w:w="90" w:type="dxa"/>
              <w:bottom w:w="60" w:type="dxa"/>
              <w:end w:w="90" w:type="dxa"/>
            </w:tcMar>
            <w:shd w:fill="F1F3F3"/>
          </w:tcPr>
          <w:p>
            <w:pPr>
              <w:keepLines/>
              <w:spacing w:after="0"/>
            </w:pPr>
            <w:r/>
            <w:r>
              <w:rPr>
                <w:rFonts w:ascii="Times New Roman" w:hAnsi="Times New Roman"/>
                <w:sz w:val="17"/>
              </w:rPr>
              <w:t>keine kritische Restabweichung</w:t>
            </w:r>
          </w:p>
        </w:tc>
        <w:tc>
          <w:tcPr>
            <w:tcW w:type="dxa" w:w="2511"/>
            <w:vAlign w:val="top"/>
            <w:tcMar>
              <w:top w:w="60" w:type="dxa"/>
              <w:start w:w="90" w:type="dxa"/>
              <w:bottom w:w="60" w:type="dxa"/>
              <w:end w:w="90" w:type="dxa"/>
            </w:tcMar>
            <w:shd w:fill="F1F3F3"/>
          </w:tcPr>
          <w:p>
            <w:pPr>
              <w:keepLines/>
              <w:spacing w:after="0"/>
            </w:pPr>
            <w:r/>
            <w:r>
              <w:rPr>
                <w:rFonts w:ascii="Times New Roman" w:hAnsi="Times New Roman"/>
                <w:sz w:val="17"/>
              </w:rPr>
              <w:t>Entscheidung über verlängertes Monitoring</w:t>
            </w:r>
          </w:p>
        </w:tc>
      </w:tr>
    </w:tbl>
    <w:p>
      <w:pPr>
        <w:spacing w:after="0" w:before="40"/>
      </w:pPr>
    </w:p>
    <w:p>
      <w:pPr>
        <w:pStyle w:val="Heading1"/>
        <w:keepNext/>
        <w:keepLines/>
      </w:pPr>
      <w:r>
        <w:t>5. Aktenabschluss</w:t>
      </w:r>
    </w:p>
    <w:p>
      <w:pPr>
        <w:keepNext/>
        <w:keepLines/>
      </w:pPr>
      <w:r>
        <w:t>Die Vergabeakte enthält Beschluss, Zustellungsnachweise, Eintrittsvereinbarung, Bedingungseintritt, Synopse, Asset-Verzeichnis, Eignungsmatrix und Monitoringplan. Die Entscheidung wird dem Rechnungsprüfungsamt ungeschwärzt bereitgestellt. Fachamt, Informationssicherheit, Datenschutz und NordSys bestätigen ihre jeweiligen Übergabepunkte in getrennten Unterschriftsfeldern.</w:t>
      </w:r>
    </w:p>
    <w:p>
      <w:pPr>
        <w:keepLines/>
      </w:pPr>
      <w:r>
        <w:t>Stadt Hafenburg Amt für Digitalisierung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Amt für Digitalisierung</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Vollzug des Auftragnehmerwechsels auf NordSys Betriebserwerber GmbH</dc:title>
  <dc:subject>Eintritts-, Übergabe- und Monitoringprotokoll | Az. HB-IT-SERVICE-2026</dc:subject>
  <dc:creator>Stadt Hafenburg - Amt für Digitalisierung</dc:creator>
  <cp:keywords>Vergaberecht, HB-IT-SERVICE-2026, Eintritts-, Übergabe- und Monitoringprotokoll</cp:keywords>
  <dc:description>generated by python-docx</dc:description>
  <cp:lastModifiedBy>Stadt Hafenburg - Amt für Digitalisierung</cp:lastModifiedBy>
  <cp:revision>1</cp:revision>
  <dcterms:created xsi:type="dcterms:W3CDTF">2000-01-01T00:00:00Z</dcterms:created>
  <dcterms:modified xsi:type="dcterms:W3CDTF">2000-01-01T00:00:00Z</dcterms:modified>
  <cp:category>Vergabeakte</cp:category>
</cp:coreProperties>
</file>