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Datacenter Westfalen GmbH</w:t>
            </w:r>
          </w:p>
          <w:p>
            <w:pPr>
              <w:spacing w:after="0"/>
            </w:pPr>
            <w:r>
              <w:rPr>
                <w:color w:val="646464"/>
                <w:sz w:val="18"/>
              </w:rPr>
              <w:t>Speicherstraße 14, 44147 Dortmund</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22.07.2026</w:t>
              <w:br/>
            </w:r>
            <w:r>
              <w:rPr>
                <w:rFonts w:ascii="Times New Roman" w:hAnsi="Times New Roman"/>
                <w:color w:val="646464"/>
                <w:sz w:val="18"/>
              </w:rPr>
              <w:t>Aktenzeichen: DW-2026-RZ-011</w:t>
              <w:br/>
            </w:r>
            <w:r>
              <w:rPr>
                <w:rFonts w:ascii="Times New Roman" w:hAnsi="Times New Roman"/>
                <w:color w:val="646464"/>
                <w:sz w:val="18"/>
              </w:rPr>
              <w:t>Prüfnotiz Bekanntmachung</w:t>
            </w:r>
          </w:p>
        </w:tc>
      </w:tr>
    </w:tbl>
    <w:p>
      <w:pPr>
        <w:spacing w:before="200" w:after="40"/>
      </w:pPr>
      <w:r>
        <w:rPr>
          <w:rFonts w:ascii="Times New Roman" w:hAnsi="Times New Roman"/>
          <w:color w:val="646464"/>
          <w:sz w:val="15"/>
        </w:rPr>
        <w:t>Datacenter Westfalen GmbH · Speicherstraße 14, 44147 Dortmund</w:t>
      </w:r>
    </w:p>
    <w:p>
      <w:pPr>
        <w:spacing w:after="240"/>
      </w:pPr>
      <w:r>
        <w:t>Interne Rechts- und Bid-Akte</w:t>
      </w:r>
    </w:p>
    <w:p>
      <w:pPr>
        <w:pStyle w:val="Title"/>
      </w:pPr>
      <w:r>
        <w:t>Erstprüfung Bekanntmachung Rechenzentrumsbetrieb Musterkreis</w:t>
      </w:r>
    </w:p>
    <w:p>
      <w:pPr>
        <w:pStyle w:val="Heading1"/>
      </w:pPr>
      <w:r>
        <w:t>1. Eingang</w:t>
      </w:r>
    </w:p>
    <w:p>
      <w:pPr>
        <w:keepNext/>
        <w:keepLines/>
      </w:pPr>
      <w:r>
        <w:t>Die Datacenter Westfalen GmbH hat die TED-Bekanntmachung 2026/S 151-456789 am 22.07.2026 ausgelesen. Die Angebotsfrist endet am 20.08.2026 um 12:00 Uhr. Die Unterlagen wurden am selben Tag vollständig aus der Plattform exportiert.</w:t>
      </w:r>
    </w:p>
    <w:p>
      <w:pPr>
        <w:pStyle w:val="Heading1"/>
        <w:keepNext/>
        <w:keepLines/>
      </w:pPr>
      <w:r>
        <w:t>2. Vergabegegenstand</w:t>
      </w:r>
    </w:p>
    <w:p>
      <w:pPr>
        <w:keepNext/>
        <w:keepLines/>
      </w:pPr>
      <w:r>
        <w:t>Der Musterkreis schreibt den Betrieb eines Rechenzentrumsverbunds aus. Enthalten sind Hosting kommunaler Fachverfahren, Backup, Monitoring, Incident Response und jährliche Notfallübungen. Die Leistung ist als Managed Service mit vier Jahren Grundlaufzeit und zweimal zwölf Monaten Verlängerungsoption ausgeschrieben.</w:t>
      </w:r>
    </w:p>
    <w:p>
      <w:pPr>
        <w:pStyle w:val="Heading1"/>
        <w:keepNext/>
        <w:keepLines/>
      </w:pPr>
      <w:r>
        <w:t>3. Erste Prüfung</w:t>
      </w:r>
    </w:p>
    <w:tbl>
      <w:tblPr>
        <w:tblStyle w:val="TableGrid"/>
        <w:tblW w:type="dxa" w:w="9070"/>
        <w:jc w:val="left"/>
        <w:tblLayout w:type="fixed"/>
        <w:tblLook w:firstColumn="1" w:firstRow="1" w:lastColumn="0" w:lastRow="0" w:noHBand="0" w:noVBand="1" w:val="04A0"/>
      </w:tblPr>
      <w:tblGrid>
        <w:gridCol w:w="1774"/>
        <w:gridCol w:w="3314"/>
        <w:gridCol w:w="3982"/>
      </w:tblGrid>
      <w:tr>
        <w:trPr>
          <w:tblHeader w:val="true"/>
          <w:cantSplit/>
        </w:trPr>
        <w:tc>
          <w:tcPr>
            <w:tcW w:type="dxa" w:w="1774"/>
            <w:vAlign w:val="top"/>
            <w:tcMar>
              <w:top w:w="60" w:type="dxa"/>
              <w:start w:w="90" w:type="dxa"/>
              <w:bottom w:w="60" w:type="dxa"/>
              <w:end w:w="90" w:type="dxa"/>
            </w:tcMar>
            <w:shd w:fill="01696F"/>
          </w:tcPr>
          <w:p>
            <w:pPr>
              <w:keepLines/>
              <w:spacing w:after="0"/>
            </w:pPr>
            <w:r/>
            <w:r>
              <w:rPr>
                <w:rFonts w:ascii="Times New Roman" w:hAnsi="Times New Roman"/>
                <w:b/>
                <w:color w:val="FFFFFF"/>
                <w:sz w:val="17"/>
              </w:rPr>
              <w:t>Punkt</w:t>
            </w:r>
          </w:p>
        </w:tc>
        <w:tc>
          <w:tcPr>
            <w:tcW w:type="dxa" w:w="3314"/>
            <w:vAlign w:val="top"/>
            <w:tcMar>
              <w:top w:w="60" w:type="dxa"/>
              <w:start w:w="90" w:type="dxa"/>
              <w:bottom w:w="60" w:type="dxa"/>
              <w:end w:w="90" w:type="dxa"/>
            </w:tcMar>
            <w:shd w:fill="01696F"/>
          </w:tcPr>
          <w:p>
            <w:pPr>
              <w:keepLines/>
              <w:spacing w:after="0"/>
            </w:pPr>
            <w:r/>
            <w:r>
              <w:rPr>
                <w:rFonts w:ascii="Times New Roman" w:hAnsi="Times New Roman"/>
                <w:b/>
                <w:color w:val="FFFFFF"/>
                <w:sz w:val="17"/>
              </w:rPr>
              <w:t>Fundstelle</w:t>
            </w:r>
          </w:p>
        </w:tc>
        <w:tc>
          <w:tcPr>
            <w:tcW w:type="dxa" w:w="3982"/>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Erste Bewertung</w:t>
            </w:r>
          </w:p>
        </w:tc>
      </w:tr>
      <w:tr>
        <w:trPr>
          <w:cantSplit/>
        </w:trPr>
        <w:tc>
          <w:tcPr>
            <w:tcW w:type="dxa" w:w="1774"/>
            <w:vAlign w:val="top"/>
            <w:tcMar>
              <w:top w:w="60" w:type="dxa"/>
              <w:start w:w="90" w:type="dxa"/>
              <w:bottom w:w="60" w:type="dxa"/>
              <w:end w:w="90" w:type="dxa"/>
            </w:tcMar>
          </w:tcPr>
          <w:p>
            <w:pPr>
              <w:keepLines/>
              <w:spacing w:after="0"/>
            </w:pPr>
            <w:r/>
            <w:r>
              <w:rPr>
                <w:rFonts w:ascii="Times New Roman" w:hAnsi="Times New Roman"/>
                <w:sz w:val="17"/>
              </w:rPr>
              <w:t>Eignung</w:t>
            </w:r>
          </w:p>
        </w:tc>
        <w:tc>
          <w:tcPr>
            <w:tcW w:type="dxa" w:w="3314"/>
            <w:vAlign w:val="top"/>
            <w:tcMar>
              <w:top w:w="60" w:type="dxa"/>
              <w:start w:w="90" w:type="dxa"/>
              <w:bottom w:w="60" w:type="dxa"/>
              <w:end w:w="90" w:type="dxa"/>
            </w:tcMar>
          </w:tcPr>
          <w:p>
            <w:pPr>
              <w:keepLines/>
              <w:spacing w:after="0"/>
            </w:pPr>
            <w:r/>
            <w:r>
              <w:rPr>
                <w:rFonts w:ascii="Times New Roman" w:hAnsi="Times New Roman"/>
                <w:sz w:val="17"/>
              </w:rPr>
              <w:t>Bekanntmachung III.1.3</w:t>
            </w:r>
          </w:p>
        </w:tc>
        <w:tc>
          <w:tcPr>
            <w:tcW w:type="dxa" w:w="3982"/>
            <w:vAlign w:val="top"/>
            <w:tcMar>
              <w:top w:w="60" w:type="dxa"/>
              <w:start w:w="90" w:type="dxa"/>
              <w:bottom w:w="60" w:type="dxa"/>
              <w:end w:w="90" w:type="dxa"/>
            </w:tcMar>
          </w:tcPr>
          <w:p>
            <w:pPr>
              <w:keepLines/>
              <w:spacing w:after="0"/>
            </w:pPr>
            <w:r/>
            <w:r>
              <w:rPr>
                <w:rFonts w:ascii="Times New Roman" w:hAnsi="Times New Roman"/>
                <w:sz w:val="17"/>
              </w:rPr>
              <w:t>Zwei kommunale 24/7-Rechenzentrumsreferenzen gefordert</w:t>
            </w:r>
          </w:p>
        </w:tc>
      </w:tr>
      <w:tr>
        <w:trPr>
          <w:cantSplit/>
        </w:trPr>
        <w:tc>
          <w:tcPr>
            <w:tcW w:type="dxa" w:w="1774"/>
            <w:vAlign w:val="top"/>
            <w:tcMar>
              <w:top w:w="60" w:type="dxa"/>
              <w:start w:w="90" w:type="dxa"/>
              <w:bottom w:w="60" w:type="dxa"/>
              <w:end w:w="90" w:type="dxa"/>
            </w:tcMar>
            <w:shd w:fill="F1F3F3"/>
          </w:tcPr>
          <w:p>
            <w:pPr>
              <w:keepLines/>
              <w:spacing w:after="0"/>
            </w:pPr>
            <w:r/>
            <w:r>
              <w:rPr>
                <w:rFonts w:ascii="Times New Roman" w:hAnsi="Times New Roman"/>
                <w:sz w:val="17"/>
              </w:rPr>
              <w:t>Zuschlag</w:t>
            </w:r>
          </w:p>
        </w:tc>
        <w:tc>
          <w:tcPr>
            <w:tcW w:type="dxa" w:w="3314"/>
            <w:vAlign w:val="top"/>
            <w:tcMar>
              <w:top w:w="60" w:type="dxa"/>
              <w:start w:w="90" w:type="dxa"/>
              <w:bottom w:w="60" w:type="dxa"/>
              <w:end w:w="90" w:type="dxa"/>
            </w:tcMar>
            <w:shd w:fill="F1F3F3"/>
          </w:tcPr>
          <w:p>
            <w:pPr>
              <w:keepLines/>
              <w:spacing w:after="0"/>
            </w:pPr>
            <w:r/>
            <w:r>
              <w:rPr>
                <w:rFonts w:ascii="Times New Roman" w:hAnsi="Times New Roman"/>
                <w:sz w:val="17"/>
              </w:rPr>
              <w:t>Unterlage ZK-3</w:t>
            </w:r>
          </w:p>
        </w:tc>
        <w:tc>
          <w:tcPr>
            <w:tcW w:type="dxa" w:w="3982"/>
            <w:vAlign w:val="top"/>
            <w:tcMar>
              <w:top w:w="60" w:type="dxa"/>
              <w:start w:w="90" w:type="dxa"/>
              <w:bottom w:w="60" w:type="dxa"/>
              <w:end w:w="90" w:type="dxa"/>
            </w:tcMar>
            <w:shd w:fill="F1F3F3"/>
          </w:tcPr>
          <w:p>
            <w:pPr>
              <w:keepLines/>
              <w:spacing w:after="0"/>
            </w:pPr>
            <w:r/>
            <w:r>
              <w:rPr>
                <w:rFonts w:ascii="Times New Roman" w:hAnsi="Times New Roman"/>
                <w:sz w:val="17"/>
              </w:rPr>
              <w:t>Ausfallsicherheit 25 Prozent, Unterkriterien nicht vollständig operationalisiert</w:t>
            </w:r>
          </w:p>
        </w:tc>
      </w:tr>
      <w:tr>
        <w:trPr>
          <w:cantSplit/>
        </w:trPr>
        <w:tc>
          <w:tcPr>
            <w:tcW w:type="dxa" w:w="1774"/>
            <w:vAlign w:val="top"/>
            <w:tcMar>
              <w:top w:w="60" w:type="dxa"/>
              <w:start w:w="90" w:type="dxa"/>
              <w:bottom w:w="60" w:type="dxa"/>
              <w:end w:w="90" w:type="dxa"/>
            </w:tcMar>
          </w:tcPr>
          <w:p>
            <w:pPr>
              <w:keepLines/>
              <w:spacing w:after="0"/>
            </w:pPr>
            <w:r/>
            <w:r>
              <w:rPr>
                <w:rFonts w:ascii="Times New Roman" w:hAnsi="Times New Roman"/>
                <w:sz w:val="17"/>
              </w:rPr>
              <w:t>Datenformat</w:t>
            </w:r>
          </w:p>
        </w:tc>
        <w:tc>
          <w:tcPr>
            <w:tcW w:type="dxa" w:w="3314"/>
            <w:vAlign w:val="top"/>
            <w:tcMar>
              <w:top w:w="60" w:type="dxa"/>
              <w:start w:w="90" w:type="dxa"/>
              <w:bottom w:w="60" w:type="dxa"/>
              <w:end w:w="90" w:type="dxa"/>
            </w:tcMar>
          </w:tcPr>
          <w:p>
            <w:pPr>
              <w:keepLines/>
              <w:spacing w:after="0"/>
            </w:pPr>
            <w:r/>
            <w:r>
              <w:rPr>
                <w:rFonts w:ascii="Times New Roman" w:hAnsi="Times New Roman"/>
                <w:sz w:val="17"/>
              </w:rPr>
              <w:t>Preisblatt Excel, Leistungsbeschreibung PDF, Vertragsentwurf PDF</w:t>
            </w:r>
          </w:p>
        </w:tc>
        <w:tc>
          <w:tcPr>
            <w:tcW w:type="dxa" w:w="3982"/>
            <w:vAlign w:val="top"/>
            <w:tcMar>
              <w:top w:w="60" w:type="dxa"/>
              <w:start w:w="90" w:type="dxa"/>
              <w:bottom w:w="60" w:type="dxa"/>
              <w:end w:w="90" w:type="dxa"/>
            </w:tcMar>
          </w:tcPr>
          <w:p>
            <w:pPr>
              <w:keepLines/>
              <w:spacing w:after="0"/>
            </w:pPr>
            <w:r/>
            <w:r>
              <w:rPr>
                <w:rFonts w:ascii="Times New Roman" w:hAnsi="Times New Roman"/>
                <w:sz w:val="17"/>
              </w:rPr>
              <w:t>Angebot muss als PDF/ZIP und Preisblatt als Excel abgegeben werden</w:t>
            </w:r>
          </w:p>
        </w:tc>
      </w:tr>
      <w:tr>
        <w:trPr>
          <w:cantSplit/>
        </w:trPr>
        <w:tc>
          <w:tcPr>
            <w:tcW w:type="dxa" w:w="1774"/>
            <w:vAlign w:val="top"/>
            <w:tcMar>
              <w:top w:w="60" w:type="dxa"/>
              <w:start w:w="90" w:type="dxa"/>
              <w:bottom w:w="60" w:type="dxa"/>
              <w:end w:w="90" w:type="dxa"/>
            </w:tcMar>
            <w:shd w:fill="F1F3F3"/>
          </w:tcPr>
          <w:p>
            <w:pPr>
              <w:keepLines/>
              <w:spacing w:after="0"/>
            </w:pPr>
            <w:r/>
            <w:r>
              <w:rPr>
                <w:rFonts w:ascii="Times New Roman" w:hAnsi="Times New Roman"/>
                <w:sz w:val="17"/>
              </w:rPr>
              <w:t>Frist</w:t>
            </w:r>
          </w:p>
        </w:tc>
        <w:tc>
          <w:tcPr>
            <w:tcW w:type="dxa" w:w="3314"/>
            <w:vAlign w:val="top"/>
            <w:tcMar>
              <w:top w:w="60" w:type="dxa"/>
              <w:start w:w="90" w:type="dxa"/>
              <w:bottom w:w="60" w:type="dxa"/>
              <w:end w:w="90" w:type="dxa"/>
            </w:tcMar>
            <w:shd w:fill="F1F3F3"/>
          </w:tcPr>
          <w:p>
            <w:pPr>
              <w:keepLines/>
              <w:spacing w:after="0"/>
            </w:pPr>
            <w:r/>
            <w:r>
              <w:rPr>
                <w:rFonts w:ascii="Times New Roman" w:hAnsi="Times New Roman"/>
                <w:sz w:val="17"/>
              </w:rPr>
              <w:t>TED IV.2.2</w:t>
            </w:r>
          </w:p>
        </w:tc>
        <w:tc>
          <w:tcPr>
            <w:tcW w:type="dxa" w:w="3982"/>
            <w:vAlign w:val="top"/>
            <w:tcMar>
              <w:top w:w="60" w:type="dxa"/>
              <w:start w:w="90" w:type="dxa"/>
              <w:bottom w:w="60" w:type="dxa"/>
              <w:end w:w="90" w:type="dxa"/>
            </w:tcMar>
            <w:shd w:fill="F1F3F3"/>
          </w:tcPr>
          <w:p>
            <w:pPr>
              <w:keepLines/>
              <w:spacing w:after="0"/>
            </w:pPr>
            <w:r/>
            <w:r>
              <w:rPr>
                <w:rFonts w:ascii="Times New Roman" w:hAnsi="Times New Roman"/>
                <w:sz w:val="17"/>
              </w:rPr>
              <w:t>Frist knapp, aber noch oberhalb Mindestfrist</w:t>
            </w:r>
          </w:p>
        </w:tc>
      </w:tr>
    </w:tbl>
    <w:p>
      <w:pPr>
        <w:spacing w:after="0" w:before="40"/>
      </w:pPr>
    </w:p>
    <w:p>
      <w:pPr>
        <w:pStyle w:val="Heading1"/>
        <w:keepNext/>
        <w:keepLines/>
      </w:pPr>
      <w:r>
        <w:t>4. Strategische Notiz</w:t>
      </w:r>
    </w:p>
    <w:p>
      <w:pPr>
        <w:keepLines/>
      </w:pPr>
      <w:r>
        <w:t>Das Verfahren ist grundsätzlich interessant. Das Angebot wird abgegeben. Die Referenzanforderung und die Ausfallsicherheitswertung werden intern markiert, weil sie später im Konkurrentenangriff relevant werden können.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DW-2026-RZ-011</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Datacenter Westfalen GmbH</w:t>
      <w:t xml:space="preserve">  |  DW-2026-RZ-011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Erstprüfung Bekanntmachung Rechenzentrumsbetrieb Musterkreis</dc:title>
  <dc:subject>Prüfnotiz Bekanntmachung | Az. DW-2026-RZ-011</dc:subject>
  <dc:creator>Datacenter Westfalen GmbH</dc:creator>
  <cp:keywords>Vergaberecht, DW-2026-RZ-011, Prüfnotiz Bekanntmachung</cp:keywords>
  <dc:description>generated by python-docx</dc:description>
  <cp:lastModifiedBy>Datacenter Westfalen GmbH</cp:lastModifiedBy>
  <cp:revision>1</cp:revision>
  <dcterms:created xsi:type="dcterms:W3CDTF">2000-01-01T00:00:00Z</dcterms:created>
  <dcterms:modified xsi:type="dcterms:W3CDTF">2000-01-01T00:00:00Z</dcterms:modified>
  <cp:category>Vergabeakte</cp:category>
</cp:coreProperties>
</file>