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Musterkreis - Zentrale Vergabestelle</w:t>
            </w:r>
          </w:p>
          <w:p>
            <w:pPr>
              <w:spacing w:after="0"/>
            </w:pPr>
            <w:r>
              <w:rPr>
                <w:color w:val="646464"/>
                <w:sz w:val="18"/>
              </w:rPr>
              <w:t>Kreishaus 1, 44100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26.09.2026</w:t>
              <w:br/>
            </w:r>
            <w:r>
              <w:rPr>
                <w:rFonts w:ascii="Times New Roman" w:hAnsi="Times New Roman"/>
                <w:color w:val="646464"/>
                <w:sz w:val="18"/>
              </w:rPr>
              <w:t>Aktenzeichen: MK-IT-2026-RZ-044</w:t>
              <w:br/>
            </w:r>
            <w:r>
              <w:rPr>
                <w:rFonts w:ascii="Times New Roman" w:hAnsi="Times New Roman"/>
                <w:color w:val="646464"/>
                <w:sz w:val="18"/>
              </w:rPr>
              <w:t>Geschwärzter Wertungsvermerk</w:t>
            </w:r>
          </w:p>
        </w:tc>
      </w:tr>
    </w:tbl>
    <w:p>
      <w:pPr>
        <w:spacing w:before="200" w:after="40"/>
      </w:pPr>
      <w:r>
        <w:rPr>
          <w:rFonts w:ascii="Times New Roman" w:hAnsi="Times New Roman"/>
          <w:color w:val="646464"/>
          <w:sz w:val="15"/>
        </w:rPr>
        <w:t>Musterkreis - Zentrale Vergabestelle · Kreishaus 1, 44100 Musterstadt</w:t>
      </w:r>
    </w:p>
    <w:p>
      <w:pPr>
        <w:spacing w:after="240"/>
      </w:pPr>
      <w:r>
        <w:t>Vergabekammer Westfalen</w:t>
      </w:r>
    </w:p>
    <w:p>
      <w:pPr>
        <w:pStyle w:val="Title"/>
      </w:pPr>
      <w:r>
        <w:t>Auszug aus der Wertung ZK-3 Ausfallsicherheit</w:t>
      </w:r>
    </w:p>
    <w:p>
      <w:pPr>
        <w:pStyle w:val="Heading1"/>
      </w:pPr>
      <w:r>
        <w:t>Bewertungsmaßstab laut Vergabeunterlagen</w:t>
      </w:r>
    </w:p>
    <w:p>
      <w:pPr>
        <w:keepNext/>
        <w:keepLines/>
      </w:pPr>
      <w:r>
        <w:t>ZK-3 wird mit 25 Prozent gewichtet. Bewertet werden Redundanz, Notfallhandbuch, Wiederanlaufzeit und Nachweis einer zweiten Betriebsstätte. Die Vergabeunterlagen enthalten keine gesonderte Gewichtung dieser vier Gesichtspunkte.</w:t>
      </w:r>
    </w:p>
    <w:p>
      <w:pPr>
        <w:pStyle w:val="Heading1"/>
        <w:keepNext/>
        <w:keepLines/>
      </w:pPr>
      <w:r>
        <w:t>Einzelwertung</w:t>
      </w:r>
    </w:p>
    <w:tbl>
      <w:tblPr>
        <w:tblStyle w:val="TableGrid"/>
        <w:tblW w:type="dxa" w:w="9070"/>
        <w:jc w:val="left"/>
        <w:tblLayout w:type="fixed"/>
        <w:tblLook w:firstColumn="1" w:firstRow="1" w:lastColumn="0" w:lastRow="0" w:noHBand="0" w:noVBand="1" w:val="04A0"/>
      </w:tblPr>
      <w:tblGrid>
        <w:gridCol w:w="1805"/>
        <w:gridCol w:w="2046"/>
        <w:gridCol w:w="2981"/>
        <w:gridCol w:w="2238"/>
      </w:tblGrid>
      <w:tr>
        <w:trPr>
          <w:tblHeader w:val="true"/>
          <w:cantSplit/>
        </w:trPr>
        <w:tc>
          <w:tcPr>
            <w:tcW w:type="dxa" w:w="1805"/>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Gesichtspunkt</w:t>
            </w:r>
          </w:p>
        </w:tc>
        <w:tc>
          <w:tcPr>
            <w:tcW w:type="dxa" w:w="2046"/>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Datacenter Westfalen</w:t>
            </w:r>
          </w:p>
        </w:tc>
        <w:tc>
          <w:tcPr>
            <w:tcW w:type="dxa" w:w="29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CloudNord</w:t>
            </w:r>
          </w:p>
        </w:tc>
        <w:tc>
          <w:tcPr>
            <w:tcW w:type="dxa" w:w="22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Dokumentierte Erwägung</w:t>
            </w:r>
          </w:p>
        </w:tc>
      </w:tr>
      <w:tr>
        <w:trPr>
          <w:cantSplit/>
        </w:trPr>
        <w:tc>
          <w:tcPr>
            <w:tcW w:type="dxa" w:w="1805"/>
            <w:vAlign w:val="top"/>
            <w:tcMar>
              <w:top w:w="60" w:type="dxa"/>
              <w:start w:w="90" w:type="dxa"/>
              <w:bottom w:w="60" w:type="dxa"/>
              <w:end w:w="90" w:type="dxa"/>
            </w:tcMar>
          </w:tcPr>
          <w:p>
            <w:pPr>
              <w:keepLines/>
              <w:spacing w:after="0"/>
            </w:pPr>
            <w:r/>
            <w:r>
              <w:rPr>
                <w:rFonts w:ascii="Times New Roman" w:hAnsi="Times New Roman"/>
                <w:sz w:val="17"/>
              </w:rPr>
              <w:t>Redundanz</w:t>
            </w:r>
          </w:p>
        </w:tc>
        <w:tc>
          <w:tcPr>
            <w:tcW w:type="dxa" w:w="2046"/>
            <w:vAlign w:val="top"/>
            <w:tcMar>
              <w:top w:w="60" w:type="dxa"/>
              <w:start w:w="90" w:type="dxa"/>
              <w:bottom w:w="60" w:type="dxa"/>
              <w:end w:w="90" w:type="dxa"/>
            </w:tcMar>
          </w:tcPr>
          <w:p>
            <w:pPr>
              <w:keepLines/>
              <w:spacing w:after="0"/>
            </w:pPr>
            <w:r/>
            <w:r>
              <w:rPr>
                <w:rFonts w:ascii="Times New Roman" w:hAnsi="Times New Roman"/>
                <w:sz w:val="17"/>
              </w:rPr>
              <w:t>zwei aktive Standorte, synchrone Replikation</w:t>
            </w:r>
          </w:p>
        </w:tc>
        <w:tc>
          <w:tcPr>
            <w:tcW w:type="dxa" w:w="2981"/>
            <w:vAlign w:val="top"/>
            <w:tcMar>
              <w:top w:w="60" w:type="dxa"/>
              <w:start w:w="90" w:type="dxa"/>
              <w:bottom w:w="60" w:type="dxa"/>
              <w:end w:w="90" w:type="dxa"/>
            </w:tcMar>
          </w:tcPr>
          <w:p>
            <w:pPr>
              <w:keepLines/>
              <w:spacing w:after="0"/>
            </w:pPr>
            <w:r/>
            <w:r>
              <w:rPr>
                <w:rFonts w:ascii="Times New Roman" w:hAnsi="Times New Roman"/>
                <w:sz w:val="17"/>
              </w:rPr>
              <w:t>Primärstandort plus Ausweichumgebung</w:t>
            </w:r>
          </w:p>
        </w:tc>
        <w:tc>
          <w:tcPr>
            <w:tcW w:type="dxa" w:w="2238"/>
            <w:vAlign w:val="top"/>
            <w:tcMar>
              <w:top w:w="60" w:type="dxa"/>
              <w:start w:w="90" w:type="dxa"/>
              <w:bottom w:w="60" w:type="dxa"/>
              <w:end w:w="90" w:type="dxa"/>
            </w:tcMar>
          </w:tcPr>
          <w:p>
            <w:pPr>
              <w:keepLines/>
              <w:spacing w:after="0"/>
            </w:pPr>
            <w:r/>
            <w:r>
              <w:rPr>
                <w:rFonts w:ascii="Times New Roman" w:hAnsi="Times New Roman"/>
                <w:sz w:val="17"/>
              </w:rPr>
              <w:t>beide Konzepte technisch belastbar</w:t>
            </w:r>
          </w:p>
        </w:tc>
      </w:tr>
      <w:tr>
        <w:trPr>
          <w:cantSplit/>
        </w:trPr>
        <w:tc>
          <w:tcPr>
            <w:tcW w:type="dxa" w:w="1805"/>
            <w:vAlign w:val="top"/>
            <w:tcMar>
              <w:top w:w="60" w:type="dxa"/>
              <w:start w:w="90" w:type="dxa"/>
              <w:bottom w:w="60" w:type="dxa"/>
              <w:end w:w="90" w:type="dxa"/>
            </w:tcMar>
            <w:shd w:fill="F1F3F3"/>
          </w:tcPr>
          <w:p>
            <w:pPr>
              <w:keepLines/>
              <w:spacing w:after="0"/>
            </w:pPr>
            <w:r/>
            <w:r>
              <w:rPr>
                <w:rFonts w:ascii="Times New Roman" w:hAnsi="Times New Roman"/>
                <w:sz w:val="17"/>
              </w:rPr>
              <w:t>Notfallhandbuch</w:t>
            </w:r>
          </w:p>
        </w:tc>
        <w:tc>
          <w:tcPr>
            <w:tcW w:type="dxa" w:w="2046"/>
            <w:vAlign w:val="top"/>
            <w:tcMar>
              <w:top w:w="60" w:type="dxa"/>
              <w:start w:w="90" w:type="dxa"/>
              <w:bottom w:w="60" w:type="dxa"/>
              <w:end w:w="90" w:type="dxa"/>
            </w:tcMar>
            <w:shd w:fill="F1F3F3"/>
          </w:tcPr>
          <w:p>
            <w:pPr>
              <w:keepLines/>
              <w:spacing w:after="0"/>
            </w:pPr>
            <w:r/>
            <w:r>
              <w:rPr>
                <w:rFonts w:ascii="Times New Roman" w:hAnsi="Times New Roman"/>
                <w:sz w:val="17"/>
              </w:rPr>
              <w:t>64 Seiten, Rollen und Tests benannt</w:t>
            </w:r>
          </w:p>
        </w:tc>
        <w:tc>
          <w:tcPr>
            <w:tcW w:type="dxa" w:w="2981"/>
            <w:vAlign w:val="top"/>
            <w:tcMar>
              <w:top w:w="60" w:type="dxa"/>
              <w:start w:w="90" w:type="dxa"/>
              <w:bottom w:w="60" w:type="dxa"/>
              <w:end w:w="90" w:type="dxa"/>
            </w:tcMar>
            <w:shd w:fill="F1F3F3"/>
          </w:tcPr>
          <w:p>
            <w:pPr>
              <w:keepLines/>
              <w:spacing w:after="0"/>
            </w:pPr>
            <w:r/>
            <w:r>
              <w:rPr>
                <w:rFonts w:ascii="Times New Roman" w:hAnsi="Times New Roman"/>
                <w:sz w:val="17"/>
              </w:rPr>
              <w:t>41 Seiten plus Anlagen</w:t>
            </w:r>
          </w:p>
        </w:tc>
        <w:tc>
          <w:tcPr>
            <w:tcW w:type="dxa" w:w="2238"/>
            <w:vAlign w:val="top"/>
            <w:tcMar>
              <w:top w:w="60" w:type="dxa"/>
              <w:start w:w="90" w:type="dxa"/>
              <w:bottom w:w="60" w:type="dxa"/>
              <w:end w:w="90" w:type="dxa"/>
            </w:tcMar>
            <w:shd w:fill="F1F3F3"/>
          </w:tcPr>
          <w:p>
            <w:pPr>
              <w:keepLines/>
              <w:spacing w:after="0"/>
            </w:pPr>
            <w:r/>
            <w:r>
              <w:rPr>
                <w:rFonts w:ascii="Times New Roman" w:hAnsi="Times New Roman"/>
                <w:sz w:val="17"/>
              </w:rPr>
              <w:t>CloudNord „kompakter und handlungsnäher“</w:t>
            </w:r>
          </w:p>
        </w:tc>
      </w:tr>
      <w:tr>
        <w:trPr>
          <w:cantSplit/>
        </w:trPr>
        <w:tc>
          <w:tcPr>
            <w:tcW w:type="dxa" w:w="1805"/>
            <w:vAlign w:val="top"/>
            <w:tcMar>
              <w:top w:w="60" w:type="dxa"/>
              <w:start w:w="90" w:type="dxa"/>
              <w:bottom w:w="60" w:type="dxa"/>
              <w:end w:w="90" w:type="dxa"/>
            </w:tcMar>
          </w:tcPr>
          <w:p>
            <w:pPr>
              <w:keepLines/>
              <w:spacing w:after="0"/>
            </w:pPr>
            <w:r/>
            <w:r>
              <w:rPr>
                <w:rFonts w:ascii="Times New Roman" w:hAnsi="Times New Roman"/>
                <w:sz w:val="17"/>
              </w:rPr>
              <w:t>Wiederanlaufzeit</w:t>
            </w:r>
          </w:p>
        </w:tc>
        <w:tc>
          <w:tcPr>
            <w:tcW w:type="dxa" w:w="2046"/>
            <w:vAlign w:val="top"/>
            <w:tcMar>
              <w:top w:w="60" w:type="dxa"/>
              <w:start w:w="90" w:type="dxa"/>
              <w:bottom w:w="60" w:type="dxa"/>
              <w:end w:w="90" w:type="dxa"/>
            </w:tcMar>
          </w:tcPr>
          <w:p>
            <w:pPr>
              <w:keepLines/>
              <w:spacing w:after="0"/>
            </w:pPr>
            <w:r/>
            <w:r>
              <w:rPr>
                <w:rFonts w:ascii="Times New Roman" w:hAnsi="Times New Roman"/>
                <w:sz w:val="17"/>
              </w:rPr>
              <w:t>RTO 90 Minuten verbindlich</w:t>
            </w:r>
          </w:p>
        </w:tc>
        <w:tc>
          <w:tcPr>
            <w:tcW w:type="dxa" w:w="2981"/>
            <w:vAlign w:val="top"/>
            <w:tcMar>
              <w:top w:w="60" w:type="dxa"/>
              <w:start w:w="90" w:type="dxa"/>
              <w:bottom w:w="60" w:type="dxa"/>
              <w:end w:w="90" w:type="dxa"/>
            </w:tcMar>
          </w:tcPr>
          <w:p>
            <w:pPr>
              <w:keepLines/>
              <w:spacing w:after="0"/>
            </w:pPr>
            <w:r/>
            <w:r>
              <w:rPr>
                <w:rFonts w:ascii="Times New Roman" w:hAnsi="Times New Roman"/>
                <w:sz w:val="17"/>
              </w:rPr>
              <w:t>RTO 60 Minuten verbindlich</w:t>
            </w:r>
          </w:p>
        </w:tc>
        <w:tc>
          <w:tcPr>
            <w:tcW w:type="dxa" w:w="2238"/>
            <w:vAlign w:val="top"/>
            <w:tcMar>
              <w:top w:w="60" w:type="dxa"/>
              <w:start w:w="90" w:type="dxa"/>
              <w:bottom w:w="60" w:type="dxa"/>
              <w:end w:w="90" w:type="dxa"/>
            </w:tcMar>
          </w:tcPr>
          <w:p>
            <w:pPr>
              <w:keepLines/>
              <w:spacing w:after="0"/>
            </w:pPr>
            <w:r/>
            <w:r>
              <w:rPr>
                <w:rFonts w:ascii="Times New Roman" w:hAnsi="Times New Roman"/>
                <w:sz w:val="17"/>
              </w:rPr>
              <w:t>Vorteil CloudNord</w:t>
            </w:r>
          </w:p>
        </w:tc>
      </w:tr>
      <w:tr>
        <w:trPr>
          <w:cantSplit/>
        </w:trPr>
        <w:tc>
          <w:tcPr>
            <w:tcW w:type="dxa" w:w="1805"/>
            <w:vAlign w:val="top"/>
            <w:tcMar>
              <w:top w:w="60" w:type="dxa"/>
              <w:start w:w="90" w:type="dxa"/>
              <w:bottom w:w="60" w:type="dxa"/>
              <w:end w:w="90" w:type="dxa"/>
            </w:tcMar>
            <w:shd w:fill="F1F3F3"/>
          </w:tcPr>
          <w:p>
            <w:pPr>
              <w:keepLines/>
              <w:spacing w:after="0"/>
            </w:pPr>
            <w:r/>
            <w:r>
              <w:rPr>
                <w:rFonts w:ascii="Times New Roman" w:hAnsi="Times New Roman"/>
                <w:sz w:val="17"/>
              </w:rPr>
              <w:t>zweite Betriebsstätte</w:t>
            </w:r>
          </w:p>
        </w:tc>
        <w:tc>
          <w:tcPr>
            <w:tcW w:type="dxa" w:w="2046"/>
            <w:vAlign w:val="top"/>
            <w:tcMar>
              <w:top w:w="60" w:type="dxa"/>
              <w:start w:w="90" w:type="dxa"/>
              <w:bottom w:w="60" w:type="dxa"/>
              <w:end w:w="90" w:type="dxa"/>
            </w:tcMar>
            <w:shd w:fill="F1F3F3"/>
          </w:tcPr>
          <w:p>
            <w:pPr>
              <w:keepLines/>
              <w:spacing w:after="0"/>
            </w:pPr>
            <w:r/>
            <w:r>
              <w:rPr>
                <w:rFonts w:ascii="Times New Roman" w:hAnsi="Times New Roman"/>
                <w:sz w:val="17"/>
              </w:rPr>
              <w:t>vollständig bezeichnet und nachgewiesen</w:t>
            </w:r>
          </w:p>
        </w:tc>
        <w:tc>
          <w:tcPr>
            <w:tcW w:type="dxa" w:w="2981"/>
            <w:vAlign w:val="top"/>
            <w:tcMar>
              <w:top w:w="60" w:type="dxa"/>
              <w:start w:w="90" w:type="dxa"/>
              <w:bottom w:w="60" w:type="dxa"/>
              <w:end w:w="90" w:type="dxa"/>
            </w:tcMar>
            <w:shd w:fill="F1F3F3"/>
          </w:tcPr>
          <w:p>
            <w:pPr>
              <w:keepLines/>
              <w:spacing w:after="0"/>
            </w:pPr>
            <w:r/>
            <w:r>
              <w:rPr>
                <w:rFonts w:ascii="Times New Roman" w:hAnsi="Times New Roman"/>
                <w:sz w:val="17"/>
              </w:rPr>
              <w:t>im Angebot als „Region Nord, Objekt in Finalisierung“ bezeichnet; Adresse nach Aufklärung ergänzt</w:t>
            </w:r>
          </w:p>
        </w:tc>
        <w:tc>
          <w:tcPr>
            <w:tcW w:type="dxa" w:w="2238"/>
            <w:vAlign w:val="top"/>
            <w:tcMar>
              <w:top w:w="60" w:type="dxa"/>
              <w:start w:w="90" w:type="dxa"/>
              <w:bottom w:w="60" w:type="dxa"/>
              <w:end w:w="90" w:type="dxa"/>
            </w:tcMar>
            <w:shd w:fill="F1F3F3"/>
          </w:tcPr>
          <w:p>
            <w:pPr>
              <w:keepLines/>
              <w:spacing w:after="0"/>
            </w:pPr>
            <w:r/>
            <w:r>
              <w:rPr>
                <w:rFonts w:ascii="Times New Roman" w:hAnsi="Times New Roman"/>
                <w:sz w:val="17"/>
              </w:rPr>
              <w:t>Vergabestelle wertete Ergänzung als Klarstellung</w:t>
            </w:r>
          </w:p>
        </w:tc>
      </w:tr>
    </w:tbl>
    <w:p>
      <w:pPr>
        <w:spacing w:after="0" w:before="40"/>
      </w:pPr>
    </w:p>
    <w:p>
      <w:pPr>
        <w:pStyle w:val="Heading1"/>
        <w:keepNext/>
        <w:keepLines/>
      </w:pPr>
      <w:r>
        <w:t>Punkte</w:t>
      </w:r>
    </w:p>
    <w:tbl>
      <w:tblPr>
        <w:tblStyle w:val="TableGrid"/>
        <w:tblW w:type="dxa" w:w="9072"/>
        <w:jc w:val="left"/>
        <w:tblLayout w:type="fixed"/>
        <w:tblLook w:firstColumn="1" w:firstRow="1" w:lastColumn="0" w:lastRow="0" w:noHBand="0" w:noVBand="1" w:val="04A0"/>
      </w:tblPr>
      <w:tblGrid>
        <w:gridCol w:w="1612"/>
        <w:gridCol w:w="1492"/>
        <w:gridCol w:w="1492"/>
        <w:gridCol w:w="1492"/>
        <w:gridCol w:w="1492"/>
        <w:gridCol w:w="1492"/>
      </w:tblGrid>
      <w:tr>
        <w:trPr>
          <w:tblHeader w:val="true"/>
          <w:cantSplit/>
        </w:trPr>
        <w:tc>
          <w:tcPr>
            <w:tcW w:type="dxa" w:w="161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1492"/>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Redundanz</w:t>
            </w:r>
          </w:p>
        </w:tc>
        <w:tc>
          <w:tcPr>
            <w:tcW w:type="dxa" w:w="1492"/>
            <w:vAlign w:val="top"/>
            <w:tcMar>
              <w:top w:w="60" w:type="dxa"/>
              <w:start w:w="90" w:type="dxa"/>
              <w:bottom w:w="60" w:type="dxa"/>
              <w:end w:w="90" w:type="dxa"/>
            </w:tcMar>
            <w:shd w:fill="01696F"/>
          </w:tcPr>
          <w:p>
            <w:pPr>
              <w:keepLines/>
              <w:spacing w:after="0"/>
            </w:pPr>
            <w:r/>
            <w:r>
              <w:rPr>
                <w:rFonts w:ascii="Times New Roman" w:hAnsi="Times New Roman"/>
                <w:b/>
                <w:color w:val="FFFFFF"/>
                <w:sz w:val="17"/>
              </w:rPr>
              <w:t>Notfallhandbuch</w:t>
            </w:r>
          </w:p>
        </w:tc>
        <w:tc>
          <w:tcPr>
            <w:tcW w:type="dxa" w:w="1492"/>
            <w:vAlign w:val="top"/>
            <w:tcMar>
              <w:top w:w="60" w:type="dxa"/>
              <w:start w:w="90" w:type="dxa"/>
              <w:bottom w:w="60" w:type="dxa"/>
              <w:end w:w="90" w:type="dxa"/>
            </w:tcMar>
            <w:shd w:fill="01696F"/>
          </w:tcPr>
          <w:p>
            <w:pPr>
              <w:keepLines/>
              <w:spacing w:after="0"/>
            </w:pPr>
            <w:r/>
            <w:r>
              <w:rPr>
                <w:rFonts w:ascii="Times New Roman" w:hAnsi="Times New Roman"/>
                <w:b/>
                <w:color w:val="FFFFFF"/>
                <w:sz w:val="17"/>
              </w:rPr>
              <w:t>Wiederanlauf</w:t>
            </w:r>
          </w:p>
        </w:tc>
        <w:tc>
          <w:tcPr>
            <w:tcW w:type="dxa" w:w="1492"/>
            <w:vAlign w:val="top"/>
            <w:tcMar>
              <w:top w:w="60" w:type="dxa"/>
              <w:start w:w="90" w:type="dxa"/>
              <w:bottom w:w="60" w:type="dxa"/>
              <w:end w:w="90" w:type="dxa"/>
            </w:tcMar>
            <w:shd w:fill="01696F"/>
          </w:tcPr>
          <w:p>
            <w:pPr>
              <w:keepLines/>
              <w:spacing w:after="0"/>
            </w:pPr>
            <w:r/>
            <w:r>
              <w:rPr>
                <w:rFonts w:ascii="Times New Roman" w:hAnsi="Times New Roman"/>
                <w:b/>
                <w:color w:val="FFFFFF"/>
                <w:sz w:val="17"/>
              </w:rPr>
              <w:t>Zweitstandort</w:t>
            </w:r>
          </w:p>
        </w:tc>
        <w:tc>
          <w:tcPr>
            <w:tcW w:type="dxa" w:w="1492"/>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Gesamt ZK-3</w:t>
            </w:r>
          </w:p>
        </w:tc>
      </w:tr>
      <w:tr>
        <w:trPr>
          <w:cantSplit/>
        </w:trPr>
        <w:tc>
          <w:tcPr>
            <w:tcW w:type="dxa" w:w="1612"/>
            <w:vAlign w:val="top"/>
            <w:tcMar>
              <w:top w:w="60" w:type="dxa"/>
              <w:start w:w="90" w:type="dxa"/>
              <w:bottom w:w="60" w:type="dxa"/>
              <w:end w:w="90" w:type="dxa"/>
            </w:tcMar>
          </w:tcPr>
          <w:p>
            <w:pPr>
              <w:keepLines/>
              <w:spacing w:after="0"/>
            </w:pPr>
            <w:r/>
            <w:r>
              <w:rPr>
                <w:rFonts w:ascii="Times New Roman" w:hAnsi="Times New Roman"/>
                <w:sz w:val="17"/>
              </w:rPr>
              <w:t>Datacenter Westfalen</w:t>
            </w:r>
          </w:p>
        </w:tc>
        <w:tc>
          <w:tcPr>
            <w:tcW w:type="dxa" w:w="1492"/>
            <w:vAlign w:val="top"/>
            <w:tcMar>
              <w:top w:w="60" w:type="dxa"/>
              <w:start w:w="90" w:type="dxa"/>
              <w:bottom w:w="60" w:type="dxa"/>
              <w:end w:w="90" w:type="dxa"/>
            </w:tcMar>
          </w:tcPr>
          <w:p>
            <w:pPr>
              <w:keepLines/>
              <w:spacing w:after="0"/>
            </w:pPr>
            <w:r/>
            <w:r>
              <w:rPr>
                <w:rFonts w:ascii="Times New Roman" w:hAnsi="Times New Roman"/>
                <w:sz w:val="17"/>
              </w:rPr>
              <w:t>8</w:t>
            </w:r>
          </w:p>
        </w:tc>
        <w:tc>
          <w:tcPr>
            <w:tcW w:type="dxa" w:w="1492"/>
            <w:vAlign w:val="top"/>
            <w:tcMar>
              <w:top w:w="60" w:type="dxa"/>
              <w:start w:w="90" w:type="dxa"/>
              <w:bottom w:w="60" w:type="dxa"/>
              <w:end w:w="90" w:type="dxa"/>
            </w:tcMar>
          </w:tcPr>
          <w:p>
            <w:pPr>
              <w:keepLines/>
              <w:spacing w:after="0"/>
            </w:pPr>
            <w:r/>
            <w:r>
              <w:rPr>
                <w:rFonts w:ascii="Times New Roman" w:hAnsi="Times New Roman"/>
                <w:sz w:val="17"/>
              </w:rPr>
              <w:t>7</w:t>
            </w:r>
          </w:p>
        </w:tc>
        <w:tc>
          <w:tcPr>
            <w:tcW w:type="dxa" w:w="1492"/>
            <w:vAlign w:val="top"/>
            <w:tcMar>
              <w:top w:w="60" w:type="dxa"/>
              <w:start w:w="90" w:type="dxa"/>
              <w:bottom w:w="60" w:type="dxa"/>
              <w:end w:w="90" w:type="dxa"/>
            </w:tcMar>
          </w:tcPr>
          <w:p>
            <w:pPr>
              <w:keepLines/>
              <w:spacing w:after="0"/>
            </w:pPr>
            <w:r/>
            <w:r>
              <w:rPr>
                <w:rFonts w:ascii="Times New Roman" w:hAnsi="Times New Roman"/>
                <w:sz w:val="17"/>
              </w:rPr>
              <w:t>7</w:t>
            </w:r>
          </w:p>
        </w:tc>
        <w:tc>
          <w:tcPr>
            <w:tcW w:type="dxa" w:w="1492"/>
            <w:vAlign w:val="top"/>
            <w:tcMar>
              <w:top w:w="60" w:type="dxa"/>
              <w:start w:w="90" w:type="dxa"/>
              <w:bottom w:w="60" w:type="dxa"/>
              <w:end w:w="90" w:type="dxa"/>
            </w:tcMar>
          </w:tcPr>
          <w:p>
            <w:pPr>
              <w:keepLines/>
              <w:spacing w:after="0"/>
            </w:pPr>
            <w:r/>
            <w:r>
              <w:rPr>
                <w:rFonts w:ascii="Times New Roman" w:hAnsi="Times New Roman"/>
                <w:sz w:val="17"/>
              </w:rPr>
              <w:t>9</w:t>
            </w:r>
          </w:p>
        </w:tc>
        <w:tc>
          <w:tcPr>
            <w:tcW w:type="dxa" w:w="1492"/>
            <w:vAlign w:val="top"/>
            <w:tcMar>
              <w:top w:w="60" w:type="dxa"/>
              <w:start w:w="90" w:type="dxa"/>
              <w:bottom w:w="60" w:type="dxa"/>
              <w:end w:w="90" w:type="dxa"/>
            </w:tcMar>
          </w:tcPr>
          <w:p>
            <w:pPr>
              <w:keepLines/>
              <w:spacing w:after="0"/>
            </w:pPr>
            <w:r/>
            <w:r>
              <w:rPr>
                <w:rFonts w:ascii="Times New Roman" w:hAnsi="Times New Roman"/>
                <w:sz w:val="17"/>
              </w:rPr>
              <w:t>7.75 von 10</w:t>
            </w:r>
          </w:p>
        </w:tc>
      </w:tr>
      <w:tr>
        <w:trPr>
          <w:cantSplit/>
        </w:trPr>
        <w:tc>
          <w:tcPr>
            <w:tcW w:type="dxa" w:w="1612"/>
            <w:vAlign w:val="top"/>
            <w:tcMar>
              <w:top w:w="60" w:type="dxa"/>
              <w:start w:w="90" w:type="dxa"/>
              <w:bottom w:w="60" w:type="dxa"/>
              <w:end w:w="90" w:type="dxa"/>
            </w:tcMar>
            <w:shd w:fill="F1F3F3"/>
          </w:tcPr>
          <w:p>
            <w:pPr>
              <w:keepLines/>
              <w:spacing w:after="0"/>
            </w:pPr>
            <w:r/>
            <w:r>
              <w:rPr>
                <w:rFonts w:ascii="Times New Roman" w:hAnsi="Times New Roman"/>
                <w:sz w:val="17"/>
              </w:rPr>
              <w:t>CloudNord</w:t>
            </w:r>
          </w:p>
        </w:tc>
        <w:tc>
          <w:tcPr>
            <w:tcW w:type="dxa" w:w="1492"/>
            <w:vAlign w:val="top"/>
            <w:tcMar>
              <w:top w:w="60" w:type="dxa"/>
              <w:start w:w="90" w:type="dxa"/>
              <w:bottom w:w="60" w:type="dxa"/>
              <w:end w:w="90" w:type="dxa"/>
            </w:tcMar>
            <w:shd w:fill="F1F3F3"/>
          </w:tcPr>
          <w:p>
            <w:pPr>
              <w:keepLines/>
              <w:spacing w:after="0"/>
            </w:pPr>
            <w:r/>
            <w:r>
              <w:rPr>
                <w:rFonts w:ascii="Times New Roman" w:hAnsi="Times New Roman"/>
                <w:sz w:val="17"/>
              </w:rPr>
              <w:t>9</w:t>
            </w:r>
          </w:p>
        </w:tc>
        <w:tc>
          <w:tcPr>
            <w:tcW w:type="dxa" w:w="1492"/>
            <w:vAlign w:val="top"/>
            <w:tcMar>
              <w:top w:w="60" w:type="dxa"/>
              <w:start w:w="90" w:type="dxa"/>
              <w:bottom w:w="60" w:type="dxa"/>
              <w:end w:w="90" w:type="dxa"/>
            </w:tcMar>
            <w:shd w:fill="F1F3F3"/>
          </w:tcPr>
          <w:p>
            <w:pPr>
              <w:keepLines/>
              <w:spacing w:after="0"/>
            </w:pPr>
            <w:r/>
            <w:r>
              <w:rPr>
                <w:rFonts w:ascii="Times New Roman" w:hAnsi="Times New Roman"/>
                <w:sz w:val="17"/>
              </w:rPr>
              <w:t>9</w:t>
            </w:r>
          </w:p>
        </w:tc>
        <w:tc>
          <w:tcPr>
            <w:tcW w:type="dxa" w:w="1492"/>
            <w:vAlign w:val="top"/>
            <w:tcMar>
              <w:top w:w="60" w:type="dxa"/>
              <w:start w:w="90" w:type="dxa"/>
              <w:bottom w:w="60" w:type="dxa"/>
              <w:end w:w="90" w:type="dxa"/>
            </w:tcMar>
            <w:shd w:fill="F1F3F3"/>
          </w:tcPr>
          <w:p>
            <w:pPr>
              <w:keepLines/>
              <w:spacing w:after="0"/>
            </w:pPr>
            <w:r/>
            <w:r>
              <w:rPr>
                <w:rFonts w:ascii="Times New Roman" w:hAnsi="Times New Roman"/>
                <w:sz w:val="17"/>
              </w:rPr>
              <w:t>10</w:t>
            </w:r>
          </w:p>
        </w:tc>
        <w:tc>
          <w:tcPr>
            <w:tcW w:type="dxa" w:w="1492"/>
            <w:vAlign w:val="top"/>
            <w:tcMar>
              <w:top w:w="60" w:type="dxa"/>
              <w:start w:w="90" w:type="dxa"/>
              <w:bottom w:w="60" w:type="dxa"/>
              <w:end w:w="90" w:type="dxa"/>
            </w:tcMar>
            <w:shd w:fill="F1F3F3"/>
          </w:tcPr>
          <w:p>
            <w:pPr>
              <w:keepLines/>
              <w:spacing w:after="0"/>
            </w:pPr>
            <w:r/>
            <w:r>
              <w:rPr>
                <w:rFonts w:ascii="Times New Roman" w:hAnsi="Times New Roman"/>
                <w:sz w:val="17"/>
              </w:rPr>
              <w:t>10</w:t>
            </w:r>
          </w:p>
        </w:tc>
        <w:tc>
          <w:tcPr>
            <w:tcW w:type="dxa" w:w="1492"/>
            <w:vAlign w:val="top"/>
            <w:tcMar>
              <w:top w:w="60" w:type="dxa"/>
              <w:start w:w="90" w:type="dxa"/>
              <w:bottom w:w="60" w:type="dxa"/>
              <w:end w:w="90" w:type="dxa"/>
            </w:tcMar>
            <w:shd w:fill="F1F3F3"/>
          </w:tcPr>
          <w:p>
            <w:pPr>
              <w:keepLines/>
              <w:spacing w:after="0"/>
            </w:pPr>
            <w:r/>
            <w:r>
              <w:rPr>
                <w:rFonts w:ascii="Times New Roman" w:hAnsi="Times New Roman"/>
                <w:sz w:val="17"/>
              </w:rPr>
              <w:t>9.50 von 10</w:t>
            </w:r>
          </w:p>
        </w:tc>
      </w:tr>
    </w:tbl>
    <w:p>
      <w:pPr>
        <w:spacing w:after="0" w:before="40"/>
      </w:pPr>
    </w:p>
    <w:p>
      <w:pPr>
        <w:keepNext/>
        <w:keepLines/>
      </w:pPr>
      <w:r>
        <w:t>Die vier Einzelpunktwerte wurden im internen Auswertungsblatt gleich gewichtet. Diese Gleichgewichtung ist in den Vergabeunterlagen nicht ausdrücklich genannt. Der Vergabevermerk enthält keine gesonderte Begründung, weshalb die erst auf Nachfrage bezeichnete Ausweichumgebung bereits zum Ablauf der Angebotsfrist verbindlich zur Verfügung stand.</w:t>
      </w:r>
    </w:p>
    <w:p>
      <w:pPr>
        <w:pStyle w:val="Heading1"/>
        <w:keepNext/>
        <w:keepLines/>
      </w:pPr>
      <w:r>
        <w:t>Schwärzungsvermerk</w:t>
      </w:r>
    </w:p>
    <w:p>
      <w:pPr>
        <w:keepLines/>
      </w:pPr>
      <w:r>
        <w:t>Geschwärzt wurden Netzadressen, Zutrittsstufen, konkrete Herstellerbezeichnungen, Namen von Sicherheitsverantwortlichen und Grundrissangaben. Nicht geschwärzt sind der ursprüngliche Angebotswortlaut zur zweiten Betriebsstätte, die Aufklärungsfrage, die zeitliche Abfolge und die tragenden Bewertungsgründe.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MK-IT-2026-RZ-044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Musterkreis - Zentrale Vergabestelle</w:t>
      <w:t xml:space="preserve">  |  MK-IT-2026-RZ-044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Auszug aus der Wertung ZK-3 Ausfallsicherheit</dc:title>
  <dc:subject>Geschwärzter Wertungsvermerk | Az. MK-IT-2026-RZ-044</dc:subject>
  <dc:creator>Musterkreis - Zentrale Vergabestelle</dc:creator>
  <cp:keywords>Vergaberecht, MK-IT-2026-RZ-044, Geschwärzter Wertungsvermerk</cp:keywords>
  <dc:description>generated by python-docx</dc:description>
  <cp:lastModifiedBy>Musterkreis - Zentrale Vergabestelle</cp:lastModifiedBy>
  <cp:revision>1</cp:revision>
  <dcterms:created xsi:type="dcterms:W3CDTF">2000-01-01T00:00:00Z</dcterms:created>
  <dcterms:modified xsi:type="dcterms:W3CDTF">2000-01-01T00:00:00Z</dcterms:modified>
  <cp:category>Vergabeakte</cp:category>
</cp:coreProperties>
</file>