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Resilience Audit Partners GmbH</w:t>
            </w:r>
          </w:p>
          <w:p>
            <w:pPr>
              <w:spacing w:after="0"/>
            </w:pPr>
            <w:r>
              <w:rPr>
                <w:color w:val="646464"/>
                <w:sz w:val="18"/>
              </w:rPr>
              <w:t>Kreishaus 1, 44100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30.09.2026</w:t>
              <w:br/>
            </w:r>
            <w:r>
              <w:rPr>
                <w:rFonts w:ascii="Times New Roman" w:hAnsi="Times New Roman"/>
                <w:color w:val="646464"/>
                <w:sz w:val="18"/>
              </w:rPr>
              <w:t>Aktenzeichen: RAP-2026-118</w:t>
              <w:br/>
            </w:r>
            <w:r>
              <w:rPr>
                <w:rFonts w:ascii="Times New Roman" w:hAnsi="Times New Roman"/>
                <w:color w:val="646464"/>
                <w:sz w:val="18"/>
              </w:rPr>
              <w:t>Technische Stellungnahme</w:t>
            </w:r>
          </w:p>
        </w:tc>
      </w:tr>
    </w:tbl>
    <w:p>
      <w:pPr>
        <w:spacing w:before="200" w:after="40"/>
      </w:pPr>
      <w:r>
        <w:rPr>
          <w:rFonts w:ascii="Times New Roman" w:hAnsi="Times New Roman"/>
          <w:color w:val="646464"/>
          <w:sz w:val="15"/>
        </w:rPr>
        <w:t>Resilience Audit Partners GmbH · Kreishaus 1, 44100 Musterstadt</w:t>
      </w:r>
    </w:p>
    <w:p>
      <w:pPr>
        <w:spacing w:after="240"/>
      </w:pPr>
      <w:r>
        <w:t>Datacenter Westfalen GmbH und Verfahrensbevollmächtigte</w:t>
      </w:r>
    </w:p>
    <w:p>
      <w:pPr>
        <w:pStyle w:val="Title"/>
      </w:pPr>
      <w:r>
        <w:t>Technische Einordnung der zweiten Betriebsstätte und Wiederanlaufzusage</w:t>
      </w:r>
    </w:p>
    <w:p>
      <w:pPr>
        <w:pStyle w:val="Heading1"/>
      </w:pPr>
      <w:r>
        <w:t>Auftrag und Unterlagen</w:t>
      </w:r>
    </w:p>
    <w:p>
      <w:r>
        <w:t>Geprüft wurden der geschwärzte Wertungsvermerk, die Aufklärungsfrage vom 31.08.2026, die Antwort der CloudNord AG vom 02.09.2026 und die veröffentlichten Mindestanforderungen. Nicht vorgelegt wurden Mietvertrag, Netzvertrag, Abnahmeprotokoll oder Testbericht des benannten Ausweichstandorts.</w:t>
      </w:r>
    </w:p>
    <w:p>
      <w:pPr>
        <w:pStyle w:val="Heading1"/>
      </w:pPr>
      <w:r>
        <w:t>Technische Mindestvoraussetzungen</w:t>
      </w:r>
    </w:p>
    <w:tbl>
      <w:tblPr>
        <w:tblStyle w:val="TableGrid"/>
        <w:tblW w:type="dxa" w:w="9071"/>
        <w:jc w:val="left"/>
        <w:tblLayout w:type="fixed"/>
        <w:tblLook w:firstColumn="1" w:firstRow="1" w:lastColumn="0" w:lastRow="0" w:noHBand="0" w:noVBand="1" w:val="04A0"/>
      </w:tblPr>
      <w:tblGrid>
        <w:gridCol w:w="2625"/>
        <w:gridCol w:w="3391"/>
        <w:gridCol w:w="3055"/>
      </w:tblGrid>
      <w:tr>
        <w:trPr>
          <w:tblHeader w:val="true"/>
          <w:cantSplit/>
        </w:trPr>
        <w:tc>
          <w:tcPr>
            <w:tcW w:type="dxa" w:w="2625"/>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Prüfbereich</w:t>
            </w:r>
          </w:p>
        </w:tc>
        <w:tc>
          <w:tcPr>
            <w:tcW w:type="dxa" w:w="3391"/>
            <w:vAlign w:val="top"/>
            <w:tcMar>
              <w:top w:w="60" w:type="dxa"/>
              <w:start w:w="90" w:type="dxa"/>
              <w:bottom w:w="60" w:type="dxa"/>
              <w:end w:w="90" w:type="dxa"/>
            </w:tcMar>
            <w:shd w:fill="01696F"/>
          </w:tcPr>
          <w:p>
            <w:pPr>
              <w:keepLines/>
              <w:spacing w:after="0"/>
            </w:pPr>
            <w:r/>
            <w:r>
              <w:rPr>
                <w:rFonts w:ascii="Times New Roman" w:hAnsi="Times New Roman"/>
                <w:b/>
                <w:color w:val="FFFFFF"/>
                <w:sz w:val="17"/>
              </w:rPr>
              <w:t>Für belastbaren Zweitstandort erforderlich</w:t>
            </w:r>
          </w:p>
        </w:tc>
        <w:tc>
          <w:tcPr>
            <w:tcW w:type="dxa" w:w="3055"/>
            <w:vAlign w:val="top"/>
            <w:tcMar>
              <w:top w:w="60" w:type="dxa"/>
              <w:start w:w="90" w:type="dxa"/>
              <w:bottom w:w="60" w:type="dxa"/>
              <w:end w:w="90" w:type="dxa"/>
            </w:tcMar>
            <w:shd w:fill="01696F"/>
          </w:tcPr>
          <w:p>
            <w:pPr>
              <w:keepLines/>
              <w:spacing w:after="0"/>
            </w:pPr>
            <w:r/>
            <w:r>
              <w:rPr>
                <w:rFonts w:ascii="Times New Roman" w:hAnsi="Times New Roman"/>
                <w:b/>
                <w:color w:val="FFFFFF"/>
                <w:sz w:val="17"/>
              </w:rPr>
              <w:t>In der Akteneinsicht belegt</w:t>
            </w:r>
          </w:p>
        </w:tc>
      </w:tr>
      <w:tr>
        <w:trPr>
          <w:cantSplit/>
        </w:trPr>
        <w:tc>
          <w:tcPr>
            <w:tcW w:type="dxa" w:w="2625"/>
            <w:vAlign w:val="top"/>
            <w:tcMar>
              <w:top w:w="60" w:type="dxa"/>
              <w:start w:w="90" w:type="dxa"/>
              <w:bottom w:w="60" w:type="dxa"/>
              <w:end w:w="90" w:type="dxa"/>
            </w:tcMar>
          </w:tcPr>
          <w:p>
            <w:pPr>
              <w:keepLines/>
              <w:spacing w:after="0"/>
            </w:pPr>
            <w:r/>
            <w:r>
              <w:rPr>
                <w:rFonts w:ascii="Times New Roman" w:hAnsi="Times New Roman"/>
                <w:sz w:val="17"/>
              </w:rPr>
              <w:t>rechtliche Verfügbarkeit</w:t>
            </w:r>
          </w:p>
        </w:tc>
        <w:tc>
          <w:tcPr>
            <w:tcW w:type="dxa" w:w="3391"/>
            <w:vAlign w:val="top"/>
            <w:tcMar>
              <w:top w:w="60" w:type="dxa"/>
              <w:start w:w="90" w:type="dxa"/>
              <w:bottom w:w="60" w:type="dxa"/>
              <w:end w:w="90" w:type="dxa"/>
            </w:tcMar>
          </w:tcPr>
          <w:p>
            <w:pPr>
              <w:keepLines/>
              <w:spacing w:after="0"/>
            </w:pPr>
            <w:r/>
            <w:r>
              <w:rPr>
                <w:rFonts w:ascii="Times New Roman" w:hAnsi="Times New Roman"/>
                <w:sz w:val="17"/>
              </w:rPr>
              <w:t>verbindliches Nutzungsrecht ab Leistungsbeginn</w:t>
            </w:r>
          </w:p>
        </w:tc>
        <w:tc>
          <w:tcPr>
            <w:tcW w:type="dxa" w:w="3055"/>
            <w:vAlign w:val="top"/>
            <w:tcMar>
              <w:top w:w="60" w:type="dxa"/>
              <w:start w:w="90" w:type="dxa"/>
              <w:bottom w:w="60" w:type="dxa"/>
              <w:end w:w="90" w:type="dxa"/>
            </w:tcMar>
          </w:tcPr>
          <w:p>
            <w:pPr>
              <w:keepLines/>
              <w:spacing w:after="0"/>
            </w:pPr>
            <w:r/>
            <w:r>
              <w:rPr>
                <w:rFonts w:ascii="Times New Roman" w:hAnsi="Times New Roman"/>
                <w:sz w:val="17"/>
              </w:rPr>
              <w:t>nur Adressangabe</w:t>
            </w:r>
          </w:p>
        </w:tc>
      </w:tr>
      <w:tr>
        <w:trPr>
          <w:cantSplit/>
        </w:trPr>
        <w:tc>
          <w:tcPr>
            <w:tcW w:type="dxa" w:w="2625"/>
            <w:vAlign w:val="top"/>
            <w:tcMar>
              <w:top w:w="60" w:type="dxa"/>
              <w:start w:w="90" w:type="dxa"/>
              <w:bottom w:w="60" w:type="dxa"/>
              <w:end w:w="90" w:type="dxa"/>
            </w:tcMar>
            <w:shd w:fill="F1F3F3"/>
          </w:tcPr>
          <w:p>
            <w:pPr>
              <w:keepLines/>
              <w:spacing w:after="0"/>
            </w:pPr>
            <w:r/>
            <w:r>
              <w:rPr>
                <w:rFonts w:ascii="Times New Roman" w:hAnsi="Times New Roman"/>
                <w:sz w:val="17"/>
              </w:rPr>
              <w:t>technische Betriebsbereitschaft</w:t>
            </w:r>
          </w:p>
        </w:tc>
        <w:tc>
          <w:tcPr>
            <w:tcW w:type="dxa" w:w="3391"/>
            <w:vAlign w:val="top"/>
            <w:tcMar>
              <w:top w:w="60" w:type="dxa"/>
              <w:start w:w="90" w:type="dxa"/>
              <w:bottom w:w="60" w:type="dxa"/>
              <w:end w:w="90" w:type="dxa"/>
            </w:tcMar>
            <w:shd w:fill="F1F3F3"/>
          </w:tcPr>
          <w:p>
            <w:pPr>
              <w:keepLines/>
              <w:spacing w:after="0"/>
            </w:pPr>
            <w:r/>
            <w:r>
              <w:rPr>
                <w:rFonts w:ascii="Times New Roman" w:hAnsi="Times New Roman"/>
                <w:sz w:val="17"/>
              </w:rPr>
              <w:t>Strom, Kühlung, Netzwerk, Monitoring und Zutritt</w:t>
            </w:r>
          </w:p>
        </w:tc>
        <w:tc>
          <w:tcPr>
            <w:tcW w:type="dxa" w:w="3055"/>
            <w:vAlign w:val="top"/>
            <w:tcMar>
              <w:top w:w="60" w:type="dxa"/>
              <w:start w:w="90" w:type="dxa"/>
              <w:bottom w:w="60" w:type="dxa"/>
              <w:end w:w="90" w:type="dxa"/>
            </w:tcMar>
            <w:shd w:fill="F1F3F3"/>
          </w:tcPr>
          <w:p>
            <w:pPr>
              <w:keepLines/>
              <w:spacing w:after="0"/>
            </w:pPr>
            <w:r/>
            <w:r>
              <w:rPr>
                <w:rFonts w:ascii="Times New Roman" w:hAnsi="Times New Roman"/>
                <w:sz w:val="17"/>
              </w:rPr>
              <w:t>nicht belegt</w:t>
            </w:r>
          </w:p>
        </w:tc>
      </w:tr>
      <w:tr>
        <w:trPr>
          <w:cantSplit/>
        </w:trPr>
        <w:tc>
          <w:tcPr>
            <w:tcW w:type="dxa" w:w="2625"/>
            <w:vAlign w:val="top"/>
            <w:tcMar>
              <w:top w:w="60" w:type="dxa"/>
              <w:start w:w="90" w:type="dxa"/>
              <w:bottom w:w="60" w:type="dxa"/>
              <w:end w:w="90" w:type="dxa"/>
            </w:tcMar>
          </w:tcPr>
          <w:p>
            <w:pPr>
              <w:keepLines/>
              <w:spacing w:after="0"/>
            </w:pPr>
            <w:r/>
            <w:r>
              <w:rPr>
                <w:rFonts w:ascii="Times New Roman" w:hAnsi="Times New Roman"/>
                <w:sz w:val="17"/>
              </w:rPr>
              <w:t>Datenreplikation</w:t>
            </w:r>
          </w:p>
        </w:tc>
        <w:tc>
          <w:tcPr>
            <w:tcW w:type="dxa" w:w="3391"/>
            <w:vAlign w:val="top"/>
            <w:tcMar>
              <w:top w:w="60" w:type="dxa"/>
              <w:start w:w="90" w:type="dxa"/>
              <w:bottom w:w="60" w:type="dxa"/>
              <w:end w:w="90" w:type="dxa"/>
            </w:tcMar>
          </w:tcPr>
          <w:p>
            <w:pPr>
              <w:keepLines/>
              <w:spacing w:after="0"/>
            </w:pPr>
            <w:r/>
            <w:r>
              <w:rPr>
                <w:rFonts w:ascii="Times New Roman" w:hAnsi="Times New Roman"/>
                <w:sz w:val="17"/>
              </w:rPr>
              <w:t>definierter Modus, Latenz und konsistenter Wiederanlauf</w:t>
            </w:r>
          </w:p>
        </w:tc>
        <w:tc>
          <w:tcPr>
            <w:tcW w:type="dxa" w:w="3055"/>
            <w:vAlign w:val="top"/>
            <w:tcMar>
              <w:top w:w="60" w:type="dxa"/>
              <w:start w:w="90" w:type="dxa"/>
              <w:bottom w:w="60" w:type="dxa"/>
              <w:end w:w="90" w:type="dxa"/>
            </w:tcMar>
          </w:tcPr>
          <w:p>
            <w:pPr>
              <w:keepLines/>
              <w:spacing w:after="0"/>
            </w:pPr>
            <w:r/>
            <w:r>
              <w:rPr>
                <w:rFonts w:ascii="Times New Roman" w:hAnsi="Times New Roman"/>
                <w:sz w:val="17"/>
              </w:rPr>
              <w:t>abstrakt beschrieben</w:t>
            </w:r>
          </w:p>
        </w:tc>
      </w:tr>
      <w:tr>
        <w:trPr>
          <w:cantSplit/>
        </w:trPr>
        <w:tc>
          <w:tcPr>
            <w:tcW w:type="dxa" w:w="2625"/>
            <w:vAlign w:val="top"/>
            <w:tcMar>
              <w:top w:w="60" w:type="dxa"/>
              <w:start w:w="90" w:type="dxa"/>
              <w:bottom w:w="60" w:type="dxa"/>
              <w:end w:w="90" w:type="dxa"/>
            </w:tcMar>
            <w:shd w:fill="F1F3F3"/>
          </w:tcPr>
          <w:p>
            <w:pPr>
              <w:keepLines/>
              <w:spacing w:after="0"/>
            </w:pPr>
            <w:r/>
            <w:r>
              <w:rPr>
                <w:rFonts w:ascii="Times New Roman" w:hAnsi="Times New Roman"/>
                <w:sz w:val="17"/>
              </w:rPr>
              <w:t>RTO 60 Minuten</w:t>
            </w:r>
          </w:p>
        </w:tc>
        <w:tc>
          <w:tcPr>
            <w:tcW w:type="dxa" w:w="3391"/>
            <w:vAlign w:val="top"/>
            <w:tcMar>
              <w:top w:w="60" w:type="dxa"/>
              <w:start w:w="90" w:type="dxa"/>
              <w:bottom w:w="60" w:type="dxa"/>
              <w:end w:w="90" w:type="dxa"/>
            </w:tcMar>
            <w:shd w:fill="F1F3F3"/>
          </w:tcPr>
          <w:p>
            <w:pPr>
              <w:keepLines/>
              <w:spacing w:after="0"/>
            </w:pPr>
            <w:r/>
            <w:r>
              <w:rPr>
                <w:rFonts w:ascii="Times New Roman" w:hAnsi="Times New Roman"/>
                <w:sz w:val="17"/>
              </w:rPr>
              <w:t>getestete Prozesskette einschließlich Entscheidung und Umschaltung</w:t>
            </w:r>
          </w:p>
        </w:tc>
        <w:tc>
          <w:tcPr>
            <w:tcW w:type="dxa" w:w="3055"/>
            <w:vAlign w:val="top"/>
            <w:tcMar>
              <w:top w:w="60" w:type="dxa"/>
              <w:start w:w="90" w:type="dxa"/>
              <w:bottom w:w="60" w:type="dxa"/>
              <w:end w:w="90" w:type="dxa"/>
            </w:tcMar>
            <w:shd w:fill="F1F3F3"/>
          </w:tcPr>
          <w:p>
            <w:pPr>
              <w:keepLines/>
              <w:spacing w:after="0"/>
            </w:pPr>
            <w:r/>
            <w:r>
              <w:rPr>
                <w:rFonts w:ascii="Times New Roman" w:hAnsi="Times New Roman"/>
                <w:sz w:val="17"/>
              </w:rPr>
              <w:t>keine Testmessung vorgelegt</w:t>
            </w:r>
          </w:p>
        </w:tc>
      </w:tr>
      <w:tr>
        <w:trPr>
          <w:cantSplit/>
        </w:trPr>
        <w:tc>
          <w:tcPr>
            <w:tcW w:type="dxa" w:w="2625"/>
            <w:vAlign w:val="top"/>
            <w:tcMar>
              <w:top w:w="60" w:type="dxa"/>
              <w:start w:w="90" w:type="dxa"/>
              <w:bottom w:w="60" w:type="dxa"/>
              <w:end w:w="90" w:type="dxa"/>
            </w:tcMar>
          </w:tcPr>
          <w:p>
            <w:pPr>
              <w:keepLines/>
              <w:spacing w:after="0"/>
            </w:pPr>
            <w:r/>
            <w:r>
              <w:rPr>
                <w:rFonts w:ascii="Times New Roman" w:hAnsi="Times New Roman"/>
                <w:sz w:val="17"/>
              </w:rPr>
              <w:t>personelle Besetzung</w:t>
            </w:r>
          </w:p>
        </w:tc>
        <w:tc>
          <w:tcPr>
            <w:tcW w:type="dxa" w:w="3391"/>
            <w:vAlign w:val="top"/>
            <w:tcMar>
              <w:top w:w="60" w:type="dxa"/>
              <w:start w:w="90" w:type="dxa"/>
              <w:bottom w:w="60" w:type="dxa"/>
              <w:end w:w="90" w:type="dxa"/>
            </w:tcMar>
          </w:tcPr>
          <w:p>
            <w:pPr>
              <w:keepLines/>
              <w:spacing w:after="0"/>
            </w:pPr>
            <w:r/>
            <w:r>
              <w:rPr>
                <w:rFonts w:ascii="Times New Roman" w:hAnsi="Times New Roman"/>
                <w:sz w:val="17"/>
              </w:rPr>
              <w:t>Alarmierung, Rollen und 24/7-Bereitschaft</w:t>
            </w:r>
          </w:p>
        </w:tc>
        <w:tc>
          <w:tcPr>
            <w:tcW w:type="dxa" w:w="3055"/>
            <w:vAlign w:val="top"/>
            <w:tcMar>
              <w:top w:w="60" w:type="dxa"/>
              <w:start w:w="90" w:type="dxa"/>
              <w:bottom w:w="60" w:type="dxa"/>
              <w:end w:w="90" w:type="dxa"/>
            </w:tcMar>
          </w:tcPr>
          <w:p>
            <w:pPr>
              <w:keepLines/>
              <w:spacing w:after="0"/>
            </w:pPr>
            <w:r/>
            <w:r>
              <w:rPr>
                <w:rFonts w:ascii="Times New Roman" w:hAnsi="Times New Roman"/>
                <w:sz w:val="17"/>
              </w:rPr>
              <w:t>Rollenmodell vorhanden, Standortzuordnung geschwärzt</w:t>
            </w:r>
          </w:p>
        </w:tc>
      </w:tr>
      <w:tr>
        <w:trPr>
          <w:cantSplit/>
        </w:trPr>
        <w:tc>
          <w:tcPr>
            <w:tcW w:type="dxa" w:w="2625"/>
            <w:vAlign w:val="top"/>
            <w:tcMar>
              <w:top w:w="60" w:type="dxa"/>
              <w:start w:w="90" w:type="dxa"/>
              <w:bottom w:w="60" w:type="dxa"/>
              <w:end w:w="90" w:type="dxa"/>
            </w:tcMar>
            <w:shd w:fill="F1F3F3"/>
          </w:tcPr>
          <w:p>
            <w:pPr>
              <w:keepLines/>
              <w:spacing w:after="0"/>
            </w:pPr>
            <w:r/>
            <w:r>
              <w:rPr>
                <w:rFonts w:ascii="Times New Roman" w:hAnsi="Times New Roman"/>
                <w:sz w:val="17"/>
              </w:rPr>
              <w:t>Sicherheitsniveau</w:t>
            </w:r>
          </w:p>
        </w:tc>
        <w:tc>
          <w:tcPr>
            <w:tcW w:type="dxa" w:w="3391"/>
            <w:vAlign w:val="top"/>
            <w:tcMar>
              <w:top w:w="60" w:type="dxa"/>
              <w:start w:w="90" w:type="dxa"/>
              <w:bottom w:w="60" w:type="dxa"/>
              <w:end w:w="90" w:type="dxa"/>
            </w:tcMar>
            <w:shd w:fill="F1F3F3"/>
          </w:tcPr>
          <w:p>
            <w:pPr>
              <w:keepLines/>
              <w:spacing w:after="0"/>
            </w:pPr>
            <w:r/>
            <w:r>
              <w:rPr>
                <w:rFonts w:ascii="Times New Roman" w:hAnsi="Times New Roman"/>
                <w:sz w:val="17"/>
              </w:rPr>
              <w:t>gleichwertige physische und logische Kontrollen</w:t>
            </w:r>
          </w:p>
        </w:tc>
        <w:tc>
          <w:tcPr>
            <w:tcW w:type="dxa" w:w="3055"/>
            <w:vAlign w:val="top"/>
            <w:tcMar>
              <w:top w:w="60" w:type="dxa"/>
              <w:start w:w="90" w:type="dxa"/>
              <w:bottom w:w="60" w:type="dxa"/>
              <w:end w:w="90" w:type="dxa"/>
            </w:tcMar>
            <w:shd w:fill="F1F3F3"/>
          </w:tcPr>
          <w:p>
            <w:pPr>
              <w:keepLines/>
              <w:spacing w:after="0"/>
            </w:pPr>
            <w:r/>
            <w:r>
              <w:rPr>
                <w:rFonts w:ascii="Times New Roman" w:hAnsi="Times New Roman"/>
                <w:sz w:val="17"/>
              </w:rPr>
              <w:t>Selbstauskunft ohne Prüfbericht</w:t>
            </w:r>
          </w:p>
        </w:tc>
      </w:tr>
    </w:tbl>
    <w:p>
      <w:pPr>
        <w:spacing w:after="0" w:before="40"/>
      </w:pPr>
    </w:p>
    <w:p>
      <w:pPr>
        <w:pStyle w:val="Heading1"/>
      </w:pPr>
      <w:r>
        <w:t>Feststellungen</w:t>
      </w:r>
    </w:p>
    <w:p>
      <w:r>
        <w:t>Die nach Angebotsfrist mitgeteilte Adresse kann eine bereits verbindlich angebotene, lediglich unklar bezeichnete Ressource konkretisieren. Sie kann aber auch erstmals festlegen, welche Ausweichumgebung Vertragsbestandteil sein soll. Diese Alternativen lassen sich nur anhand des Originalangebots, eines bereits bei Fristablauf bestehenden Nutzungsrechts und zeitgestempelter Planungsunterlagen unterscheiden.</w:t>
      </w:r>
    </w:p>
    <w:p>
      <w:r>
        <w:t>Eine RTO-Zusage von 60 Minuten ist ohne End-to-End-Test nicht technisch ausgeschlossen, aber nicht belastbar verifiziert. Ein Notfallhandbuch allein belegt weder die Betriebsbereitschaft des konkreten Standorts noch die Dauer von Datenkonsistenzprüfung und Wiederanlauf.</w:t>
      </w:r>
    </w:p>
    <w:p>
      <w:pPr>
        <w:pStyle w:val="Heading1"/>
      </w:pPr>
      <w:r>
        <w:t>Schlussfolgerung</w:t>
      </w:r>
    </w:p>
    <w:p>
      <w:pPr>
        <w:keepNext/>
        <w:keepLines/>
      </w:pPr>
      <w:r>
        <w:t>Für die vergaberechtliche Bewertung ist zu klären, ob CloudNord schon bei Angebotsfrist eine bestimmte, verfügbare und technisch eingerichtete Ressource angeboten hatte. Bestand damals nur eine unverbindliche Standortoption, wäre die spätere Festlegung keine bloße Erläuterung. Bestand die Ressource bereits, muss die Vergabestelle dokumentieren, welche ursprüngliche Textstelle und welcher vorfristliche Beleg dies tragen.</w:t>
      </w:r>
    </w:p>
    <w:p>
      <w:pPr>
        <w:pStyle w:val="Heading1"/>
        <w:keepNext/>
        <w:keepLines/>
      </w:pPr>
      <w:r>
        <w:t>Empfohlene Beweisfragen</w:t>
      </w:r>
    </w:p>
    <w:p>
      <w:pPr>
        <w:pStyle w:val="ListNumber"/>
        <w:keepNext/>
        <w:keepLines/>
      </w:pPr>
      <w:r>
        <w:t>Welches Nutzungsrecht bestand am Tag des Fristablaufs?</w:t>
      </w:r>
    </w:p>
    <w:p>
      <w:pPr>
        <w:pStyle w:val="ListNumber"/>
        <w:keepNext/>
        <w:keepLines/>
      </w:pPr>
      <w:r>
        <w:t>Wann wurden Netzwerk und Replikation bestellt, eingerichtet und getestet?</w:t>
      </w:r>
    </w:p>
    <w:p>
      <w:pPr>
        <w:pStyle w:val="ListNumber"/>
        <w:keepNext/>
        <w:keepLines/>
      </w:pPr>
      <w:r>
        <w:t>Welche Dateien oder Erklärungen des Originalangebots identifizierten den Standort?</w:t>
      </w:r>
    </w:p>
    <w:p>
      <w:pPr>
        <w:pStyle w:val="ListNumber"/>
        <w:keepNext/>
        <w:keepLines/>
      </w:pPr>
      <w:r>
        <w:t>Welche neuen Angaben enthielt die Antwort vom 02.09.2026?</w:t>
      </w:r>
    </w:p>
    <w:p>
      <w:pPr>
        <w:pStyle w:val="ListNumber"/>
        <w:keepLines/>
      </w:pPr>
      <w:r>
        <w:t>Hätte das Angebot ohne diese Antwort die Mindestanforderung und die volle Punktzahl erhalten?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RAP-2026-118</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Resilience Audit Partners GmbH</w:t>
      <w:t xml:space="preserve">  |  RAP-2026-118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Technische Einordnung der zweiten Betriebsstätte und Wiederanlaufzusage</dc:title>
  <dc:subject>Technische Stellungnahme | Az. RAP-2026-118</dc:subject>
  <dc:creator>Resilience Audit Partners GmbH</dc:creator>
  <cp:keywords>Vergaberecht, RAP-2026-118, Technische Stellungnahme</cp:keywords>
  <dc:description>generated by python-docx</dc:description>
  <cp:lastModifiedBy>Resilience Audit Partners GmbH</cp:lastModifiedBy>
  <cp:revision>1</cp:revision>
  <dcterms:created xsi:type="dcterms:W3CDTF">2000-01-01T00:00:00Z</dcterms:created>
  <dcterms:modified xsi:type="dcterms:W3CDTF">2000-01-01T00:00:00Z</dcterms:modified>
  <cp:category>Vergabeakte</cp:category>
</cp:coreProperties>
</file>