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Oberlandesgericht Düsseldorf - Vergabesenat</w:t>
            </w:r>
          </w:p>
          <w:p>
            <w:pPr>
              <w:spacing w:after="0"/>
            </w:pPr>
            <w:r>
              <w:rPr>
                <w:color w:val="646464"/>
                <w:sz w:val="18"/>
              </w:rPr>
              <w:t>Phoenixseestraße 6, 44263 Dortmund</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16.10.2026</w:t>
              <w:br/>
            </w:r>
            <w:r>
              <w:rPr>
                <w:rFonts w:ascii="Times New Roman" w:hAnsi="Times New Roman"/>
                <w:color w:val="646464"/>
                <w:sz w:val="18"/>
              </w:rPr>
              <w:t>Aktenzeichen: Verg 11/26</w:t>
              <w:br/>
            </w:r>
            <w:r>
              <w:rPr>
                <w:rFonts w:ascii="Times New Roman" w:hAnsi="Times New Roman"/>
                <w:color w:val="646464"/>
                <w:sz w:val="18"/>
              </w:rPr>
              <w:t>Beschluss des Vergabesenats</w:t>
            </w:r>
          </w:p>
        </w:tc>
      </w:tr>
    </w:tbl>
    <w:p>
      <w:pPr>
        <w:spacing w:before="200" w:after="40"/>
      </w:pPr>
      <w:r>
        <w:rPr>
          <w:rFonts w:ascii="Times New Roman" w:hAnsi="Times New Roman"/>
          <w:color w:val="646464"/>
          <w:sz w:val="15"/>
        </w:rPr>
        <w:t>Oberlandesgericht Düsseldorf - Vergabesenat · Phoenixseestraße 6, 44263 Dortmund</w:t>
      </w:r>
    </w:p>
    <w:p>
      <w:pPr>
        <w:spacing w:after="240"/>
      </w:pPr>
      <w:r>
        <w:t>Beteiligte im Beschwerdeverfahren Verg 11/26</w:t>
      </w:r>
    </w:p>
    <w:p>
      <w:pPr>
        <w:pStyle w:val="Title"/>
      </w:pPr>
      <w:r>
        <w:t>Beschluss Rechenzentrumsbetrieb Musterkreis</w:t>
      </w:r>
    </w:p>
    <w:p>
      <w:pPr>
        <w:pStyle w:val="Heading1"/>
      </w:pPr>
      <w:r>
        <w:t>Tenor</w:t>
      </w:r>
    </w:p>
    <w:p>
      <w:pPr>
        <w:pStyle w:val="ListNumber"/>
      </w:pPr>
      <w:r>
        <w:t>Auf die sofortige Beschwerde wird der Beschluss der Vergabekammer Westfalen vom 30.09.2026 aufgehoben.</w:t>
      </w:r>
    </w:p>
    <w:p>
      <w:pPr>
        <w:pStyle w:val="ListNumber"/>
      </w:pPr>
      <w:r>
        <w:t>Dem Musterkreis wird untersagt, auf Grundlage der bisherigen Eignungs- und Wertungsentscheidung den Zuschlag zu erteilen.</w:t>
      </w:r>
    </w:p>
    <w:p>
      <w:pPr>
        <w:pStyle w:val="ListNumber"/>
      </w:pPr>
      <w:r>
        <w:t>Bei fortbestehender Beschaffungsabsicht hat der Musterkreis das Verfahren in den Stand vor Eignungs- und Wertungsprüfung zurückzuversetzen und anhand der bei Ablauf der Angebotsfrist vorhandenen Erklärungen neu zu entscheiden.</w:t>
      </w:r>
    </w:p>
    <w:p>
      <w:pPr>
        <w:pStyle w:val="ListNumber"/>
      </w:pPr>
      <w:r>
        <w:t>Im Übrigen wird die Beschwerde zurückgewiesen.</w:t>
      </w:r>
    </w:p>
    <w:p>
      <w:pPr>
        <w:pStyle w:val="ListNumber"/>
      </w:pPr>
      <w:r>
        <w:t>Die Kosten des Verfahrens tragen die Beschwerdeführerin zu einem Viertel und der Musterkreis zu drei Vierteln.</w:t>
      </w:r>
    </w:p>
    <w:p>
      <w:pPr>
        <w:pStyle w:val="Heading1"/>
      </w:pPr>
      <w:r>
        <w:t>Gründe</w:t>
      </w:r>
    </w:p>
    <w:p>
      <w:pPr>
        <w:pStyle w:val="Heading2"/>
      </w:pPr>
      <w:r>
        <w:t>1. Wirkung der Beschwerde</w:t>
      </w:r>
    </w:p>
    <w:p>
      <w:r>
        <w:t>Das Verfahren begann nach dem 30.06.2026. Die zurückweisende Entscheidung der Vergabekammer beendete das Zuschlagsverbot; die Beschwerde hatte nach § 173 Abs. 1 GWB keine aufschiebende Wirkung. Der Zuschlag wurde aufgrund der befristeten Stillhaltezusage der Vergabestelle dennoch nicht erteilt. Der Senat entscheidet deshalb über einen unveränderten Vergabestand.</w:t>
      </w:r>
    </w:p>
    <w:p>
      <w:pPr>
        <w:pStyle w:val="Heading2"/>
      </w:pPr>
      <w:r>
        <w:t>2. Gleichgewichtung innerhalb ZK-3</w:t>
      </w:r>
    </w:p>
    <w:p>
      <w:r>
        <w:t>Die Beschwerde ist insoweit unbegründet. Alle vier Bewertungsaspekte waren vor Angebotsabgabe benannt. Die interne Gleichgewichtung änderte weder das Gesamtgewicht noch führte sie einen unbekannten Gesichtspunkt ein. Anhaltspunkte für eine nachträgliche Anpassung an einzelne Angebote bestehen nicht.</w:t>
      </w:r>
    </w:p>
    <w:p>
      <w:pPr>
        <w:pStyle w:val="Heading2"/>
      </w:pPr>
      <w:r>
        <w:t>3. Zweitstandort</w:t>
      </w:r>
    </w:p>
    <w:p>
      <w:r>
        <w:t>Die bloße Bezeichnung eines Ausweichstandorts im Raum Hannover ließ offen, welche konkrete technische Ressource verbindlich zur Verfügung stand. Erst die Aufklärungsantwort ordnete Adresse, Betreiber, Kapazität und Umschaltweg dem Angebot zu. Diese Angaben waren für die Betriebsbereitschaft und Punktzahl entscheidend. Sie durften nicht wie bereits vorhandener Angebotsinhalt behandelt werden.</w:t>
      </w:r>
    </w:p>
    <w:p>
      <w:r>
        <w:t>§ 15 Abs. 5 VgV erlaubt die Aufklärung des Angebots, nicht dessen materielle Vervollständigung. Die Vergabestelle muss deshalb prüfen, ob das ursprüngliche Angebot ohne die nachgereichten Angaben die Mindestanforderung erfüllt und welche Wertung allein der fristgerechte Bestand trägt.</w:t>
      </w:r>
    </w:p>
    <w:p>
      <w:pPr>
        <w:pStyle w:val="Heading2"/>
      </w:pPr>
      <w:r>
        <w:t>4. Referenzanforderung</w:t>
      </w:r>
    </w:p>
    <w:tbl>
      <w:tblPr>
        <w:tblStyle w:val="TableGrid"/>
        <w:tblW w:type="dxa" w:w="9071"/>
        <w:jc w:val="left"/>
        <w:tblLayout w:type="fixed"/>
        <w:tblLook w:firstColumn="1" w:firstRow="1" w:lastColumn="0" w:lastRow="0" w:noHBand="0" w:noVBand="1" w:val="04A0"/>
      </w:tblPr>
      <w:tblGrid>
        <w:gridCol w:w="3202"/>
        <w:gridCol w:w="2625"/>
        <w:gridCol w:w="3244"/>
      </w:tblGrid>
      <w:tr>
        <w:trPr>
          <w:tblHeader w:val="true"/>
          <w:cantSplit/>
        </w:trPr>
        <w:tc>
          <w:tcPr>
            <w:tcW w:type="dxa" w:w="32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Wortlaut der Unterlagen</w:t>
            </w:r>
          </w:p>
        </w:tc>
        <w:tc>
          <w:tcPr>
            <w:tcW w:type="dxa" w:w="262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Aktenbefund</w:t>
            </w:r>
          </w:p>
        </w:tc>
        <w:tc>
          <w:tcPr>
            <w:tcW w:type="dxa" w:w="32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rechtliche Einordnung</w:t>
            </w:r>
          </w:p>
        </w:tc>
      </w:tr>
      <w:tr>
        <w:trPr>
          <w:cantSplit/>
        </w:trPr>
        <w:tc>
          <w:tcPr>
            <w:tcW w:type="dxa" w:w="3202"/>
            <w:vAlign w:val="top"/>
            <w:tcMar>
              <w:top w:w="60" w:type="dxa"/>
              <w:start w:w="90" w:type="dxa"/>
              <w:bottom w:w="60" w:type="dxa"/>
              <w:end w:w="90" w:type="dxa"/>
            </w:tcMar>
          </w:tcPr>
          <w:p>
            <w:pPr>
              <w:keepLines/>
              <w:spacing w:after="0"/>
            </w:pPr>
            <w:r/>
            <w:r>
              <w:rPr>
                <w:rFonts w:ascii="Times New Roman" w:hAnsi="Times New Roman"/>
                <w:sz w:val="17"/>
              </w:rPr>
              <w:t>zwei kommunale Rechenzentrumsleistungen mit 24/7-Betrieb</w:t>
            </w:r>
          </w:p>
        </w:tc>
        <w:tc>
          <w:tcPr>
            <w:tcW w:type="dxa" w:w="2625"/>
            <w:vAlign w:val="top"/>
            <w:tcMar>
              <w:top w:w="60" w:type="dxa"/>
              <w:start w:w="90" w:type="dxa"/>
              <w:bottom w:w="60" w:type="dxa"/>
              <w:end w:w="90" w:type="dxa"/>
            </w:tcMar>
          </w:tcPr>
          <w:p>
            <w:pPr>
              <w:keepLines/>
              <w:spacing w:after="0"/>
            </w:pPr>
            <w:r/>
            <w:r>
              <w:rPr>
                <w:rFonts w:ascii="Times New Roman" w:hAnsi="Times New Roman"/>
                <w:sz w:val="17"/>
              </w:rPr>
              <w:t>eine kommunale und eine private Hostingreferenz</w:t>
            </w:r>
          </w:p>
        </w:tc>
        <w:tc>
          <w:tcPr>
            <w:tcW w:type="dxa" w:w="3244"/>
            <w:vAlign w:val="top"/>
            <w:tcMar>
              <w:top w:w="60" w:type="dxa"/>
              <w:start w:w="90" w:type="dxa"/>
              <w:bottom w:w="60" w:type="dxa"/>
              <w:end w:w="90" w:type="dxa"/>
            </w:tcMar>
          </w:tcPr>
          <w:p>
            <w:pPr>
              <w:keepLines/>
              <w:spacing w:after="0"/>
            </w:pPr>
            <w:r/>
            <w:r>
              <w:rPr>
                <w:rFonts w:ascii="Times New Roman" w:hAnsi="Times New Roman"/>
                <w:sz w:val="17"/>
              </w:rPr>
              <w:t>Auftraggebereigenschaft ausdrücklich verlangt</w:t>
            </w:r>
          </w:p>
        </w:tc>
      </w:tr>
      <w:tr>
        <w:trPr>
          <w:cantSplit/>
        </w:trPr>
        <w:tc>
          <w:tcPr>
            <w:tcW w:type="dxa" w:w="3202"/>
            <w:vAlign w:val="top"/>
            <w:tcMar>
              <w:top w:w="60" w:type="dxa"/>
              <w:start w:w="90" w:type="dxa"/>
              <w:bottom w:w="60" w:type="dxa"/>
              <w:end w:w="90" w:type="dxa"/>
            </w:tcMar>
            <w:shd w:fill="F1F3F3"/>
          </w:tcPr>
          <w:p>
            <w:pPr>
              <w:keepLines/>
              <w:spacing w:after="0"/>
            </w:pPr>
            <w:r/>
            <w:r>
              <w:rPr>
                <w:rFonts w:ascii="Times New Roman" w:hAnsi="Times New Roman"/>
                <w:sz w:val="17"/>
              </w:rPr>
              <w:t>Vergleichbarkeit nach Art und Umfang</w:t>
            </w:r>
          </w:p>
        </w:tc>
        <w:tc>
          <w:tcPr>
            <w:tcW w:type="dxa" w:w="2625"/>
            <w:vAlign w:val="top"/>
            <w:tcMar>
              <w:top w:w="60" w:type="dxa"/>
              <w:start w:w="90" w:type="dxa"/>
              <w:bottom w:w="60" w:type="dxa"/>
              <w:end w:w="90" w:type="dxa"/>
            </w:tcMar>
            <w:shd w:fill="F1F3F3"/>
          </w:tcPr>
          <w:p>
            <w:pPr>
              <w:keepLines/>
              <w:spacing w:after="0"/>
            </w:pPr>
            <w:r/>
            <w:r>
              <w:rPr>
                <w:rFonts w:ascii="Times New Roman" w:hAnsi="Times New Roman"/>
                <w:sz w:val="17"/>
              </w:rPr>
              <w:t>private Referenz mit ähnlicher Technik</w:t>
            </w:r>
          </w:p>
        </w:tc>
        <w:tc>
          <w:tcPr>
            <w:tcW w:type="dxa" w:w="3244"/>
            <w:vAlign w:val="top"/>
            <w:tcMar>
              <w:top w:w="60" w:type="dxa"/>
              <w:start w:w="90" w:type="dxa"/>
              <w:bottom w:w="60" w:type="dxa"/>
              <w:end w:w="90" w:type="dxa"/>
            </w:tcMar>
            <w:shd w:fill="F1F3F3"/>
          </w:tcPr>
          <w:p>
            <w:pPr>
              <w:keepLines/>
              <w:spacing w:after="0"/>
            </w:pPr>
            <w:r/>
            <w:r>
              <w:rPr>
                <w:rFonts w:ascii="Times New Roman" w:hAnsi="Times New Roman"/>
                <w:sz w:val="17"/>
              </w:rPr>
              <w:t>ersetzt die klare kommunale Mindestvorgabe nicht automatisch</w:t>
            </w:r>
          </w:p>
        </w:tc>
      </w:tr>
      <w:tr>
        <w:trPr>
          <w:cantSplit/>
        </w:trPr>
        <w:tc>
          <w:tcPr>
            <w:tcW w:type="dxa" w:w="3202"/>
            <w:vAlign w:val="top"/>
            <w:tcMar>
              <w:top w:w="60" w:type="dxa"/>
              <w:start w:w="90" w:type="dxa"/>
              <w:bottom w:w="60" w:type="dxa"/>
              <w:end w:w="90" w:type="dxa"/>
            </w:tcMar>
          </w:tcPr>
          <w:p>
            <w:pPr>
              <w:keepLines/>
              <w:spacing w:after="0"/>
            </w:pPr>
            <w:r/>
            <w:r>
              <w:rPr>
                <w:rFonts w:ascii="Times New Roman" w:hAnsi="Times New Roman"/>
                <w:sz w:val="17"/>
              </w:rPr>
              <w:t>Nachweis durch Referenzblatt</w:t>
            </w:r>
          </w:p>
        </w:tc>
        <w:tc>
          <w:tcPr>
            <w:tcW w:type="dxa" w:w="2625"/>
            <w:vAlign w:val="top"/>
            <w:tcMar>
              <w:top w:w="60" w:type="dxa"/>
              <w:start w:w="90" w:type="dxa"/>
              <w:bottom w:w="60" w:type="dxa"/>
              <w:end w:w="90" w:type="dxa"/>
            </w:tcMar>
          </w:tcPr>
          <w:p>
            <w:pPr>
              <w:keepLines/>
              <w:spacing w:after="0"/>
            </w:pPr>
            <w:r/>
            <w:r>
              <w:rPr>
                <w:rFonts w:ascii="Times New Roman" w:hAnsi="Times New Roman"/>
                <w:sz w:val="17"/>
              </w:rPr>
              <w:t>keine kommunale zweite Referenz bei Fristablauf</w:t>
            </w:r>
          </w:p>
        </w:tc>
        <w:tc>
          <w:tcPr>
            <w:tcW w:type="dxa" w:w="3244"/>
            <w:vAlign w:val="top"/>
            <w:tcMar>
              <w:top w:w="60" w:type="dxa"/>
              <w:start w:w="90" w:type="dxa"/>
              <w:bottom w:w="60" w:type="dxa"/>
              <w:end w:w="90" w:type="dxa"/>
            </w:tcMar>
          </w:tcPr>
          <w:p>
            <w:pPr>
              <w:keepLines/>
              <w:spacing w:after="0"/>
            </w:pPr>
            <w:r/>
            <w:r>
              <w:rPr>
                <w:rFonts w:ascii="Times New Roman" w:hAnsi="Times New Roman"/>
                <w:sz w:val="17"/>
              </w:rPr>
              <w:t>keine nachträgliche neue Referenz zulässig</w:t>
            </w:r>
          </w:p>
        </w:tc>
      </w:tr>
    </w:tbl>
    <w:p>
      <w:pPr>
        <w:spacing w:after="0" w:before="40"/>
      </w:pPr>
    </w:p>
    <w:p>
      <w:r>
        <w:t>Ein fachkundiger Bieter durfte die Formulierung als Anforderung an zwei kommunale Referenzgeber verstehen. Ob die Vorgabe sachgerecht war, ist von ihrer objektiven Auslegung zu trennen. Solange sie nicht rechtzeitig geändert wurde, muss die Vergabestelle sie gleichmäßig anwenden.</w:t>
      </w:r>
    </w:p>
    <w:p>
      <w:pPr>
        <w:pStyle w:val="Heading2"/>
      </w:pPr>
      <w:r>
        <w:t>5. Rechtsfolge</w:t>
      </w:r>
    </w:p>
    <w:p>
      <w:pPr>
        <w:keepNext/>
        <w:keepLines/>
      </w:pPr>
      <w:r>
        <w:t>Der Senat erteilt keinen Zuschlag an die Beschwerdeführerin. Die Vergabestelle hat zunächst die Eignung aller verbliebenen Angebote und danach die Wertung auf unveränderter Tatsachengrundlage neu zu prüfen. Angebotsfundstellen, Auslegung und Rechtsfolge sind getrennt zu dokumentieren.</w:t>
      </w:r>
    </w:p>
    <w:p>
      <w:pPr>
        <w:pStyle w:val="Heading1"/>
        <w:keepNext/>
        <w:keepLines/>
      </w:pPr>
      <w:r>
        <w:t>Vollzug und Rechtsmittel</w:t>
      </w:r>
    </w:p>
    <w:p>
      <w:pPr>
        <w:keepNext/>
        <w:keepLines/>
      </w:pPr>
      <w:r>
        <w:t>Die Geschäftsstelle übermittelt den Beschluss noch am Entscheidungstag an die Beteiligten und die Vergabekammer. Das Zuschlagsmodul bleibt aufgrund des Tenors gesperrt, bis der Musterkreis eine neue Eignungs- und Wertungsentscheidung dokumentiert und erforderlichenfalls ein neues Informationsschreiben nach § 134 GWB versandt hat.</w:t>
      </w:r>
    </w:p>
    <w:p>
      <w:pPr>
        <w:keepNext/>
        <w:keepLines/>
      </w:pPr>
      <w:r>
        <w:t>Gegen die Beschwerdeentscheidung findet kein ordentliches Rechtsmittel statt. Eine Vorlage an den Bundesgerichtshof nach § 179 GWB setzt voraus, dass der Senat in einer Rechtsfrage von der Entscheidung eines anderen Oberlandesgerichts oder des Bundesgerichtshofs abweichen will; ein Antrag der Beteiligten ersetzt diese gesetzliche Voraussetzung nicht.</w:t>
      </w:r>
    </w:p>
    <w:p>
      <w:pPr>
        <w:keepLines/>
      </w:pPr>
      <w:r>
        <w:t>Oberlandesgericht Düsseldorf Vergabesenat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Verg 11/26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Oberlandesgericht Düsseldorf - Vergabesenat</w:t>
      <w:t xml:space="preserve">  |  Verg 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Beschluss Rechenzentrumsbetrieb Musterkreis</dc:title>
  <dc:subject>Beschluss des Vergabesenats | Az. Verg 11/26</dc:subject>
  <dc:creator>Oberlandesgericht Düsseldorf - Vergabesenat</dc:creator>
  <cp:keywords>Vergaberecht, Verg 11/26, Beschluss des Vergabesenats</cp:keywords>
  <dc:description>generated by python-docx</dc:description>
  <cp:lastModifiedBy>Oberlandesgericht Düsseldorf - Vergabesenat</cp:lastModifiedBy>
  <cp:revision>1</cp:revision>
  <dcterms:created xsi:type="dcterms:W3CDTF">2000-01-01T00:00:00Z</dcterms:created>
  <dcterms:modified xsi:type="dcterms:W3CDTF">2000-01-01T00:00:00Z</dcterms:modified>
  <cp:category>Vergabeakte</cp:category>
</cp:coreProperties>
</file>