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Landeshauptstadt Schwerin - SDS Stadtwirtschaftliche Dienstleistungen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Am Grünen Tal 18, 19063 Schwerin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27.02.2026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VK 4/26</w:t>
            </w:r>
          </w:p>
        </w:tc>
      </w:tr>
    </w:tbl>
    <w:p>
      <w:pPr>
        <w:pStyle w:val="Title"/>
      </w:pPr>
      <w:r>
        <w:t>Eignungsanforderungen und Kriterienkatalog</w:t>
      </w:r>
    </w:p>
    <w:p>
      <w:r>
        <w:t>Aktenzeichen: 3 VK 4/26 Vorhabenbezeichnung: LH-SN-Cyber-SOC-NSV-2026 Dokument-Typ: Teil B Vergabeunterlagen - Eignungsanforderungen und Zuschlagskriterien Version: 1.0 vom 27.02.2026</w:t>
      </w:r>
    </w:p>
    <w:p>
      <w:pPr>
        <w:pStyle w:val="Heading1"/>
      </w:pPr>
      <w:r>
        <w:t>Teil B: Eignungsanforderungen und Zuschlagskriterienkatalog</w:t>
      </w:r>
    </w:p>
    <w:p>
      <w:pPr>
        <w:pStyle w:val="Heading2"/>
      </w:pPr>
      <w:r>
        <w:t>1. Eignungskriterien (Mindestanforderungen, KO-Kriterien)</w:t>
      </w:r>
    </w:p>
    <w:p>
      <w:r>
        <w:t>Bieter, die die folgenden Mindestanforderungen nicht erfüllen, werden nach § 57 VgV von der Wertung ausgeschlossen.</w:t>
      </w:r>
    </w:p>
    <w:p>
      <w:pPr>
        <w:pStyle w:val="Heading3"/>
      </w:pPr>
      <w:r>
        <w:t>1.1 Befähigung zur Berufsausübung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008"/>
        <w:gridCol w:w="3908"/>
        <w:gridCol w:w="3155"/>
      </w:tblGrid>
      <w:tr>
        <w:trPr>
          <w:tblHeader w:val="true"/>
          <w:cantSplit/>
        </w:trPr>
        <w:tc>
          <w:tcPr>
            <w:tcW w:type="dxa" w:w="20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Kriterium</w:t>
            </w:r>
          </w:p>
        </w:tc>
        <w:tc>
          <w:tcPr>
            <w:tcW w:type="dxa" w:w="39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Mindestanforderung</w:t>
            </w:r>
          </w:p>
        </w:tc>
        <w:tc>
          <w:tcPr>
            <w:tcW w:type="dxa" w:w="315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Nachweis</w:t>
            </w:r>
          </w:p>
        </w:tc>
      </w:tr>
      <w:tr>
        <w:trPr>
          <w:cantSplit/>
        </w:trPr>
        <w:tc>
          <w:tcPr>
            <w:tcW w:type="dxa" w:w="20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E-1</w:t>
            </w:r>
          </w:p>
        </w:tc>
        <w:tc>
          <w:tcPr>
            <w:tcW w:type="dxa" w:w="39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Handelsregistereintrag (oder gleichwertig EU)</w:t>
            </w:r>
          </w:p>
        </w:tc>
        <w:tc>
          <w:tcPr>
            <w:tcW w:type="dxa" w:w="315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Beglaubigte Kopie, nicht älter als 6 Monate</w:t>
            </w:r>
          </w:p>
        </w:tc>
      </w:tr>
      <w:tr>
        <w:trPr>
          <w:cantSplit/>
        </w:trPr>
        <w:tc>
          <w:tcPr>
            <w:tcW w:type="dxa" w:w="20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E-2</w:t>
            </w:r>
          </w:p>
        </w:tc>
        <w:tc>
          <w:tcPr>
            <w:tcW w:type="dxa" w:w="39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Gewerbezulassung für IT-Sicherheitsdienstleistungen</w:t>
            </w:r>
          </w:p>
        </w:tc>
        <w:tc>
          <w:tcPr>
            <w:tcW w:type="dxa" w:w="315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Kopie Gewerbeanmeldung / IHK-Mitgliedschaft</w:t>
            </w:r>
          </w:p>
        </w:tc>
      </w:tr>
      <w:tr>
        <w:trPr>
          <w:cantSplit/>
        </w:trPr>
        <w:tc>
          <w:tcPr>
            <w:tcW w:type="dxa" w:w="20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E-3</w:t>
            </w:r>
          </w:p>
        </w:tc>
        <w:tc>
          <w:tcPr>
            <w:tcW w:type="dxa" w:w="39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Kein Vorliegen von Ausschlussgründen § 123, 124 GWB</w:t>
            </w:r>
          </w:p>
        </w:tc>
        <w:tc>
          <w:tcPr>
            <w:tcW w:type="dxa" w:w="315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Eigenerklärung (Muster Anlage 3)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t>1.2 Wirtschaftliche und finanzielle Leistungsfähigkeit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706"/>
        <w:gridCol w:w="3671"/>
        <w:gridCol w:w="3694"/>
      </w:tblGrid>
      <w:tr>
        <w:trPr>
          <w:tblHeader w:val="true"/>
          <w:cantSplit/>
        </w:trPr>
        <w:tc>
          <w:tcPr>
            <w:tcW w:type="dxa" w:w="17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Kriterium</w:t>
            </w:r>
          </w:p>
        </w:tc>
        <w:tc>
          <w:tcPr>
            <w:tcW w:type="dxa" w:w="36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Mindestanforderung</w:t>
            </w:r>
          </w:p>
        </w:tc>
        <w:tc>
          <w:tcPr>
            <w:tcW w:type="dxa" w:w="369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Nachweis</w:t>
            </w:r>
          </w:p>
        </w:tc>
      </w:tr>
      <w:tr>
        <w:trPr>
          <w:cantSplit/>
        </w:trPr>
        <w:tc>
          <w:tcPr>
            <w:tcW w:type="dxa" w:w="17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F-1</w:t>
            </w:r>
          </w:p>
        </w:tc>
        <w:tc>
          <w:tcPr>
            <w:tcW w:type="dxa" w:w="36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Jahresumsatz IT-Sicherheit / Managed Services ≥ 5 Mio. EUR in mind. 2 der letzten 3 Geschäftsjahre</w:t>
            </w:r>
          </w:p>
        </w:tc>
        <w:tc>
          <w:tcPr>
            <w:tcW w:type="dxa" w:w="369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Jahresabschlüsse oder Umsatzerklärung testiert durch Wirtschaftsprüfer</w:t>
            </w:r>
          </w:p>
        </w:tc>
      </w:tr>
      <w:tr>
        <w:trPr>
          <w:cantSplit/>
        </w:trPr>
        <w:tc>
          <w:tcPr>
            <w:tcW w:type="dxa" w:w="17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F-2</w:t>
            </w:r>
          </w:p>
        </w:tc>
        <w:tc>
          <w:tcPr>
            <w:tcW w:type="dxa" w:w="36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Berufshaftpflicht mind. 5 Mio. EUR je Schadensfall</w:t>
            </w:r>
          </w:p>
        </w:tc>
        <w:tc>
          <w:tcPr>
            <w:tcW w:type="dxa" w:w="369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Versicherungsnachweis, nicht älter als 3 Monate</w:t>
            </w:r>
          </w:p>
        </w:tc>
      </w:tr>
      <w:tr>
        <w:trPr>
          <w:cantSplit/>
        </w:trPr>
        <w:tc>
          <w:tcPr>
            <w:tcW w:type="dxa" w:w="17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F-3</w:t>
            </w:r>
          </w:p>
        </w:tc>
        <w:tc>
          <w:tcPr>
            <w:tcW w:type="dxa" w:w="367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Kreditwürdigkeit (kein Insolvenzverfahren, kein vorläufiger Insolvenzverwalter)</w:t>
            </w:r>
          </w:p>
        </w:tc>
        <w:tc>
          <w:tcPr>
            <w:tcW w:type="dxa" w:w="369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Aktuelle Auskunft Creditreform oder Schufa (Unternehmensbonitätsauskunft)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t>1.3 Technische und berufliche Leistungsfähigkeit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645"/>
        <w:gridCol w:w="4256"/>
        <w:gridCol w:w="3170"/>
      </w:tblGrid>
      <w:tr>
        <w:trPr>
          <w:tblHeader w:val="true"/>
          <w:cantSplit/>
        </w:trPr>
        <w:tc>
          <w:tcPr>
            <w:tcW w:type="dxa" w:w="164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Kriterium</w:t>
            </w:r>
          </w:p>
        </w:tc>
        <w:tc>
          <w:tcPr>
            <w:tcW w:type="dxa" w:w="4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Mindestanforderung</w:t>
            </w:r>
          </w:p>
        </w:tc>
        <w:tc>
          <w:tcPr>
            <w:tcW w:type="dxa" w:w="317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Nachweis</w:t>
            </w:r>
          </w:p>
        </w:tc>
      </w:tr>
      <w:tr>
        <w:trPr>
          <w:cantSplit/>
        </w:trPr>
        <w:tc>
          <w:tcPr>
            <w:tcW w:type="dxa" w:w="164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T-1</w:t>
            </w:r>
          </w:p>
        </w:tc>
        <w:tc>
          <w:tcPr>
            <w:tcW w:type="dxa" w:w="4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Mindestens 3 Referenzaufträge über SOC-Managed-Service oder IT-Sicherheitsberatung in den letzten 5 Jahren (Laufzeit je mind. 12 Monate, Volumen je mind. 300.000 EUR netto)</w:t>
            </w:r>
          </w:p>
        </w:tc>
        <w:tc>
          <w:tcPr>
            <w:tcW w:type="dxa" w:w="317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Referenzblätter (Muster Anlage 4), bevorzugt mit Ansprechpartner Auftraggeber</w:t>
            </w:r>
          </w:p>
        </w:tc>
      </w:tr>
      <w:tr>
        <w:trPr>
          <w:cantSplit/>
        </w:trPr>
        <w:tc>
          <w:tcPr>
            <w:tcW w:type="dxa" w:w="164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T-2</w:t>
            </w:r>
          </w:p>
        </w:tc>
        <w:tc>
          <w:tcPr>
            <w:tcW w:type="dxa" w:w="4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Referenzauftraggeber: öffentliche Auftraggeber oder KRITIS-Betreiber; bevorzugt im Sektor Verkehr oder Energie</w:t>
            </w:r>
          </w:p>
        </w:tc>
        <w:tc>
          <w:tcPr>
            <w:tcW w:type="dxa" w:w="317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Angaben im Referenzblatt</w:t>
            </w:r>
          </w:p>
        </w:tc>
      </w:tr>
      <w:tr>
        <w:trPr>
          <w:cantSplit/>
        </w:trPr>
        <w:tc>
          <w:tcPr>
            <w:tcW w:type="dxa" w:w="164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T-3</w:t>
            </w:r>
          </w:p>
        </w:tc>
        <w:tc>
          <w:tcPr>
            <w:tcW w:type="dxa" w:w="4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Aktuelle ISO/IEC 27001-Zertifizierung des SOC-Betriebs</w:t>
            </w:r>
          </w:p>
        </w:tc>
        <w:tc>
          <w:tcPr>
            <w:tcW w:type="dxa" w:w="317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Kopie gültiges Zertifikat (nicht älter als 12 Monate)</w:t>
            </w:r>
          </w:p>
        </w:tc>
      </w:tr>
      <w:tr>
        <w:trPr>
          <w:cantSplit/>
        </w:trPr>
        <w:tc>
          <w:tcPr>
            <w:tcW w:type="dxa" w:w="164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T-4</w:t>
            </w:r>
          </w:p>
        </w:tc>
        <w:tc>
          <w:tcPr>
            <w:tcW w:type="dxa" w:w="4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Mindestens 2 Schlüsselpersonen mit Nachweis BSI-Grundschutz-Praktiker oder CISM oder CISSP</w:t>
            </w:r>
          </w:p>
        </w:tc>
        <w:tc>
          <w:tcPr>
            <w:tcW w:type="dxa" w:w="317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Lebensläufe + Zertifikatskopien</w:t>
            </w:r>
          </w:p>
        </w:tc>
      </w:tr>
      <w:tr>
        <w:trPr>
          <w:cantSplit/>
        </w:trPr>
        <w:tc>
          <w:tcPr>
            <w:tcW w:type="dxa" w:w="164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T-5</w:t>
            </w:r>
          </w:p>
        </w:tc>
        <w:tc>
          <w:tcPr>
            <w:tcW w:type="dxa" w:w="425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Nachweis 24/7/365-SOC-Betrieb seit mind. 24 Monaten</w:t>
            </w:r>
          </w:p>
        </w:tc>
        <w:tc>
          <w:tcPr>
            <w:tcW w:type="dxa" w:w="317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Eigenerklärung + Bestätigung Referenzauftraggeber</w:t>
            </w:r>
          </w:p>
        </w:tc>
      </w:tr>
    </w:tbl>
    <w:p>
      <w:pPr>
        <w:spacing w:after="0" w:before="40"/>
      </w:pPr>
    </w:p>
    <w:p>
      <w:r>
        <w:t>Auslegungsregel T-2: Die Formulierung "bevorzugt im Sektor Verkehr oder Energie" wird nicht als zwingendes KO-Kriterium festgelegt. Eine fehlende ÖPNV-spezifische Referenz führt nach diesem Kriterienkatalog nicht automatisch zum Ausschluss.</w:t>
      </w:r>
    </w:p>
    <w:p>
      <w:pPr>
        <w:pStyle w:val="Heading2"/>
      </w:pPr>
      <w:r>
        <w:t>2. Zuschlagskriterien (Bewertungsmatrix)</w:t>
      </w:r>
    </w:p>
    <w:p>
      <w:r>
        <w:t>Der Zuschlag wird auf das wirtschaftlichste Angebot nach dem besten Preis-Leistungs-Verhältnis erteilt.</w:t>
      </w:r>
    </w:p>
    <w:p>
      <w:pPr>
        <w:pStyle w:val="Heading3"/>
      </w:pPr>
      <w:r>
        <w:t>2.1 Übersicht Zuschlagskriterien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</w:tblPr>
      <w:tblGrid>
        <w:gridCol w:w="1981"/>
        <w:gridCol w:w="3129"/>
        <w:gridCol w:w="1981"/>
        <w:gridCol w:w="1981"/>
      </w:tblGrid>
      <w:tr>
        <w:trPr>
          <w:tblHeader w:val="true"/>
          <w:cantSplit/>
        </w:trPr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Nr.</w:t>
            </w:r>
          </w:p>
        </w:tc>
        <w:tc>
          <w:tcPr>
            <w:tcW w:type="dxa" w:w="31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Kriterium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Gewichtung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Max. Punkte</w:t>
            </w:r>
          </w:p>
        </w:tc>
      </w:tr>
      <w:tr>
        <w:trPr>
          <w:cantSplit/>
        </w:trPr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ZK-1</w:t>
            </w:r>
          </w:p>
        </w:tc>
        <w:tc>
          <w:tcPr>
            <w:tcW w:type="dxa" w:w="31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Preis (Gesamtangebotspreis netto 4 Jahre)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40 %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40</w:t>
            </w:r>
          </w:p>
        </w:tc>
      </w:tr>
      <w:tr>
        <w:trPr>
          <w:cantSplit/>
        </w:trPr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ZK-2</w:t>
            </w:r>
          </w:p>
        </w:tc>
        <w:tc>
          <w:tcPr>
            <w:tcW w:type="dxa" w:w="31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Qualität SOC-Konzept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20 %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20</w:t>
            </w:r>
          </w:p>
        </w:tc>
      </w:tr>
      <w:tr>
        <w:trPr>
          <w:cantSplit/>
        </w:trPr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ZK-3</w:t>
            </w:r>
          </w:p>
        </w:tc>
        <w:tc>
          <w:tcPr>
            <w:tcW w:type="dxa" w:w="31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Reaktionszeiten und SLA-Qualität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15 %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ZK-4</w:t>
            </w:r>
          </w:p>
        </w:tc>
        <w:tc>
          <w:tcPr>
            <w:tcW w:type="dxa" w:w="31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Referenzen und sektorale Erfahrung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15 %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ZK-5</w:t>
            </w:r>
          </w:p>
        </w:tc>
        <w:tc>
          <w:tcPr>
            <w:tcW w:type="dxa" w:w="31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Datenschutz und ISMS-Konzept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10 %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Gesamt</w:t>
            </w:r>
          </w:p>
        </w:tc>
        <w:tc>
          <w:tcPr>
            <w:tcW w:type="dxa" w:w="3129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100 %</w:t>
            </w:r>
          </w:p>
        </w:tc>
        <w:tc>
          <w:tcPr>
            <w:tcW w:type="dxa" w:w="198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100</w:t>
            </w:r>
          </w:p>
        </w:tc>
      </w:tr>
    </w:tbl>
    <w:p>
      <w:pPr>
        <w:spacing w:after="0" w:before="40"/>
      </w:pPr>
    </w:p>
    <w:p>
      <w:pPr>
        <w:pStyle w:val="Heading3"/>
      </w:pPr>
      <w:r>
        <w:t>2.2 Bewertungsmatrix ZK-1 (Preis)</w:t>
      </w:r>
    </w:p>
    <w:p>
      <w:pPr>
        <w:keepNext/>
        <w:keepLines/>
      </w:pPr>
      <w:r>
        <w:t>Niedrigstes Angebot erhält 40 Punkte. Weitere Angebote: Punkte = 40 × (Niedrigstsangebot / Angebotspreis)</w:t>
      </w:r>
    </w:p>
    <w:p>
      <w:pPr>
        <w:pStyle w:val="Heading3"/>
        <w:keepNext/>
        <w:keepLines/>
      </w:pPr>
      <w:r>
        <w:t>2.3 Bewertungsmatrix ZK-2 (Qualität SOC-Konzept)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306"/>
        <w:gridCol w:w="6765"/>
      </w:tblGrid>
      <w:tr>
        <w:trPr>
          <w:tblHeader w:val="true"/>
          <w:cantSplit/>
        </w:trPr>
        <w:tc>
          <w:tcPr>
            <w:tcW w:type="dxa" w:w="23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Punktzahl</w:t>
            </w:r>
          </w:p>
        </w:tc>
        <w:tc>
          <w:tcPr>
            <w:tcW w:type="dxa" w:w="67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Bewertung</w:t>
            </w:r>
          </w:p>
        </w:tc>
      </w:tr>
      <w:tr>
        <w:trPr>
          <w:cantSplit/>
        </w:trPr>
        <w:tc>
          <w:tcPr>
            <w:tcW w:type="dxa" w:w="23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18-20</w:t>
            </w:r>
          </w:p>
        </w:tc>
        <w:tc>
          <w:tcPr>
            <w:tcW w:type="dxa" w:w="67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Exzellent: Konzept adressiert alle spezifischen NSV-Anforderungen (OT, Fahrzeugflotte, Leitstelle), übertrifft Mindestanforderungen</w:t>
            </w:r>
          </w:p>
        </w:tc>
      </w:tr>
      <w:tr>
        <w:trPr>
          <w:cantSplit/>
        </w:trPr>
        <w:tc>
          <w:tcPr>
            <w:tcW w:type="dxa" w:w="23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14-17</w:t>
            </w:r>
          </w:p>
        </w:tc>
        <w:tc>
          <w:tcPr>
            <w:tcW w:type="dxa" w:w="67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Gut: Konzept vollständig, geringfügige Lücken OT-Kompetenz</w:t>
            </w:r>
          </w:p>
        </w:tc>
      </w:tr>
      <w:tr>
        <w:trPr>
          <w:cantSplit/>
        </w:trPr>
        <w:tc>
          <w:tcPr>
            <w:tcW w:type="dxa" w:w="23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8-13</w:t>
            </w:r>
          </w:p>
        </w:tc>
        <w:tc>
          <w:tcPr>
            <w:tcW w:type="dxa" w:w="67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Ausreichend: Konzept vollständig für IT-Bereich, keine OT-Spezifika</w:t>
            </w:r>
          </w:p>
        </w:tc>
      </w:tr>
      <w:tr>
        <w:trPr>
          <w:cantSplit/>
        </w:trPr>
        <w:tc>
          <w:tcPr>
            <w:tcW w:type="dxa" w:w="23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0-7</w:t>
            </w:r>
          </w:p>
        </w:tc>
        <w:tc>
          <w:tcPr>
            <w:tcW w:type="dxa" w:w="6765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Mangelhaft: Wesentliche Lücken</w:t>
            </w:r>
          </w:p>
        </w:tc>
      </w:tr>
    </w:tbl>
    <w:p>
      <w:pPr>
        <w:spacing w:after="0" w:before="40"/>
      </w:pPr>
    </w:p>
    <w:p>
      <w:pPr>
        <w:pStyle w:val="Heading3"/>
        <w:keepNext/>
        <w:keepLines/>
      </w:pPr>
      <w:r>
        <w:t>2.4 Bewertungsmatrix ZK-4 (Referenzen)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557"/>
        <w:gridCol w:w="6514"/>
      </w:tblGrid>
      <w:tr>
        <w:trPr>
          <w:tblHeader w:val="true"/>
          <w:cantSplit/>
        </w:trPr>
        <w:tc>
          <w:tcPr>
            <w:tcW w:type="dxa" w:w="255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Punktzahl</w:t>
            </w:r>
          </w:p>
        </w:tc>
        <w:tc>
          <w:tcPr>
            <w:tcW w:type="dxa" w:w="65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Kriterium</w:t>
            </w:r>
          </w:p>
        </w:tc>
      </w:tr>
      <w:tr>
        <w:trPr>
          <w:cantSplit/>
        </w:trPr>
        <w:tc>
          <w:tcPr>
            <w:tcW w:type="dxa" w:w="255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13-15</w:t>
            </w:r>
          </w:p>
        </w:tc>
        <w:tc>
          <w:tcPr>
            <w:tcW w:type="dxa" w:w="65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3+ Referenzen KRITIS-Betreiber, davon mind. 1 Sektor Verkehr</w:t>
            </w:r>
          </w:p>
        </w:tc>
      </w:tr>
      <w:tr>
        <w:trPr>
          <w:cantSplit/>
        </w:trPr>
        <w:tc>
          <w:tcPr>
            <w:tcW w:type="dxa" w:w="255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9-12</w:t>
            </w:r>
          </w:p>
        </w:tc>
        <w:tc>
          <w:tcPr>
            <w:tcW w:type="dxa" w:w="65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3+ Referenzen KRITIS-Betreiber (andere Sektoren) oder öffentliche Auftraggeber vergleichbarer Größe</w:t>
            </w:r>
          </w:p>
        </w:tc>
      </w:tr>
      <w:tr>
        <w:trPr>
          <w:cantSplit/>
        </w:trPr>
        <w:tc>
          <w:tcPr>
            <w:tcW w:type="dxa" w:w="255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5-8</w:t>
            </w:r>
          </w:p>
        </w:tc>
        <w:tc>
          <w:tcPr>
            <w:tcW w:type="dxa" w:w="65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 Referenzen, davon mind. 1 KRITIS oder öffentlicher Auftraggeber</w:t>
            </w:r>
          </w:p>
        </w:tc>
      </w:tr>
      <w:tr>
        <w:trPr>
          <w:cantSplit/>
        </w:trPr>
        <w:tc>
          <w:tcPr>
            <w:tcW w:type="dxa" w:w="255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0-4</w:t>
            </w:r>
          </w:p>
        </w:tc>
        <w:tc>
          <w:tcPr>
            <w:tcW w:type="dxa" w:w="651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Weniger als 2 verwertbare Referenzen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Wertungsregel ZK-4: Die Skala differenziert bei KRITIS-Betreibern aller Sektoren (9-12 Punkte) gegenüber spezifisch ÖPNV-Referenzen (13-15 Punkte). Ein Ausschluss wegen Fehlens von ÖPNV-Referenzen ist in ZK-4 nicht vorgesehen.</w:t>
      </w:r>
    </w:p>
    <w:p>
      <w:pPr>
        <w:pStyle w:val="Heading2"/>
        <w:keepNext/>
        <w:keepLines/>
      </w:pPr>
      <w:r>
        <w:t>3. Wertungsreihenfolge und Informationspflichten</w:t>
      </w:r>
    </w:p>
    <w:p>
      <w:pPr>
        <w:pStyle w:val="ListBullet"/>
        <w:keepNext/>
        <w:keepLines/>
      </w:pPr>
      <w:r>
        <w:t>Formale Prüfung (Vollständigkeit, Fristen, Ausschlussgründe)</w:t>
      </w:r>
    </w:p>
    <w:p>
      <w:pPr>
        <w:pStyle w:val="ListBullet"/>
        <w:keepNext/>
        <w:keepLines/>
      </w:pPr>
      <w:r>
        <w:t>Eignungsprüfung (KO-Kriterien T-1 bis T-5, E-1 bis E-3, F-1 bis F-3)</w:t>
      </w:r>
    </w:p>
    <w:p>
      <w:pPr>
        <w:pStyle w:val="ListBullet"/>
        <w:keepNext/>
        <w:keepLines/>
      </w:pPr>
      <w:r>
        <w:t>Angebotsprüfung (Ungewöhnliche Preisabweichungen → Aufklärung § 60 VgV)</w:t>
      </w:r>
    </w:p>
    <w:p>
      <w:pPr>
        <w:pStyle w:val="ListBullet"/>
        <w:keepNext/>
        <w:keepLines/>
      </w:pPr>
      <w:r>
        <w:t>Wertung nach Zuschlagskriterien ZK-1 bis ZK-5</w:t>
      </w:r>
    </w:p>
    <w:p>
      <w:pPr>
        <w:pStyle w:val="ListBullet"/>
        <w:keepLines/>
      </w:pPr>
      <w:r>
        <w:t>Information über beabsichtigten Zuschlag gem. § 134 GWB (15-Kalendertage-Frist)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VK 4/26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Landeshauptstadt Schwerin - SDS Stadtwirtschaftliche Dienstleistungen</w:t>
      <w:t xml:space="preserve">  |  VK 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Eignungsanforderungen und Kriterienkatalog</dc:title>
  <dc:subject>Vergabeakte | Az. VK 4/26</dc:subject>
  <dc:creator>Landeshauptstadt Schwerin - SDS Stadtwirtschaftliche Dienstleistungen</dc:creator>
  <cp:keywords>Vergaberecht, VK 4/26</cp:keywords>
  <dc:description>generated by python-docx</dc:description>
  <cp:lastModifiedBy>Landeshauptstadt Schwerin - SDS Stadtwirtschaftliche Dienstleistungen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