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Bährens Vergaberecht Rechtsanwaltsgesellschaft mbH</w:t>
            </w:r>
          </w:p>
          <w:p>
            <w:pPr>
              <w:spacing w:after="0"/>
            </w:pPr>
            <w:r>
              <w:rPr>
                <w:color w:val="646464"/>
                <w:sz w:val="18"/>
              </w:rPr>
              <w:t>Unter den Linden 48, 10117 Berlin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12.05.2026</w:t>
              <w:br/>
            </w:r>
            <w:r>
              <w:rPr>
                <w:rFonts w:ascii="Times New Roman" w:hAnsi="Times New Roman"/>
                <w:color w:val="646464"/>
                <w:sz w:val="18"/>
              </w:rPr>
              <w:t>Aktenzeichen: VK 4/26</w:t>
            </w:r>
          </w:p>
        </w:tc>
      </w:tr>
    </w:tbl>
    <w:p>
      <w:pPr>
        <w:pStyle w:val="Title"/>
      </w:pPr>
      <w:r>
        <w:t>Erwiderung CyberShield auf Vergabestellen-Stellungnahme</w:t>
      </w:r>
    </w:p>
    <w:p>
      <w:r>
        <w:t>Aktenzeichen: 3 VK 4/26 Vorhabenbezeichnung: LH-SN-Cyber-SOC-NSV-2026 Von: RA Dr. Constantin Bährens An: Vergabekammern des Landes Mecklenburg-Vorpommern Datum: 12.05.2026</w:t>
      </w:r>
    </w:p>
    <w:p>
      <w:pPr>
        <w:pStyle w:val="Heading1"/>
      </w:pPr>
      <w:r>
        <w:t>Erwiderung der Antragstellerin</w:t>
      </w:r>
    </w:p>
    <w:p>
      <w:r>
        <w:t>In dem Nachprüfungsverfahren 3 VK 4/26</w:t>
      </w:r>
    </w:p>
    <w:p>
      <w:r>
        <w:t>Wir erwidern auf die Stellungnahme der Antragsgegnerin vom 05.05.2026 wie folgt:</w:t>
      </w:r>
    </w:p>
    <w:p>
      <w:pPr>
        <w:pStyle w:val="Heading2"/>
      </w:pPr>
      <w:r>
        <w:t>1. Zur Zulässigkeit (Rügefrist)</w:t>
      </w:r>
    </w:p>
    <w:p>
      <w:r>
        <w:t>Der Einwand der verspäteten Rüge geht ins Leere. Die Antragstellerin hatte vor dem Ausschlussschreiben keine Kenntnis davon, dass die Vergabestelle die Formulierung "bevorzugt im Sektor Verkehr" als zwingende Ausschlussbedingung auslegen würde. Ein fachkundiger Bieter musste dies aus den Unterlagen nicht erkennen. Die Rüge vom 17.04.2026 ging drei Kalendertage nach Kenntnis und damit innerhalb der Zehn-Kalendertage-Frist des § 160 Abs. 3 Satz 1 Nr. 1 GWB ein.</w:t>
      </w:r>
    </w:p>
    <w:p>
      <w:r>
        <w:t>Für die objektive Auslegung der Unterlagen werden BGH, Urteil vom 20.11.2012, X ZR 108/10, Friedhofserweiterung, und BGH, Urteil vom 13.09.2022, XIII ZR 9/20, Deponiekosten, herangezogen. Die konkreten Kenntnistatsachen und der Zugang des Ausschlussschreibens sind unabhängig davon zu beweisen.</w:t>
      </w:r>
    </w:p>
    <w:p>
      <w:pPr>
        <w:pStyle w:val="Heading2"/>
      </w:pPr>
      <w:r>
        <w:t>2. Zur Begründetheit</w:t>
      </w:r>
    </w:p>
    <w:p>
      <w:pPr>
        <w:pStyle w:val="Heading3"/>
      </w:pPr>
      <w:r>
        <w:t>2.1 Eignungsanforderung T-2 (Kerndissens)</w:t>
      </w:r>
    </w:p>
    <w:p>
      <w:r>
        <w:t>Die Antragsgegnerin behauptet, der Ausschluss sei durch die Leistungsbeschreibung gedeckt. Dies ist unzutreffend.</w:t>
      </w:r>
    </w:p>
    <w:p>
      <w:r>
        <w:t>Erstens verwendet die Leistungsbeschreibung in Abschnitt 2.1.1 den Begriff "OT-Monitoring Leitstelle Fahrzeugflottensysteme" als Leistungsbeschreibungsmerkmal, nicht als Eignungsanforderung. Die Eignung wird in Teil B der Vergabeunterlagen abschließend definiert. Eine nachträgliche Verknüpfung ist unzulässig.</w:t>
      </w:r>
    </w:p>
    <w:p>
      <w:r>
        <w:t>Zweitens verfügt CyberShield über ausgewiesene OT-Kompetenz: Referenz 1 (Stadtwerke Kiel) umfasste ICS/SCADA-Monitoring eines Wärmekraftwerks. Referenz 3 (Stadtwerke Rostock) umfasste OT-Monitoring Fernwärmenetz mit identischer Technologie (Claroty). Die OT-Technologie unterscheidet sich nicht zwischen ÖPNV-Leitstellen und Industrieanlagen wesentlich - beide nutzen IEC 62443-konforme Protokolle (Modbus, PROFINET).</w:t>
      </w:r>
    </w:p>
    <w:p>
      <w:r>
        <w:t>Drittens hat die Antragsgegnerin in ihrer Stellungnahme eingeräumt, der Ausschluss beruhe auf einer Ermessensentscheidung der Vergabestelle. Ermessen besteht bei KO-Kriterien jedoch nicht.</w:t>
      </w:r>
    </w:p>
    <w:p>
      <w:pPr>
        <w:pStyle w:val="Heading3"/>
      </w:pPr>
      <w:r>
        <w:t>2.2 Referenz VVS Stuttgart (konkret)</w:t>
      </w:r>
    </w:p>
    <w:p>
      <w:r>
        <w:t>Die Antragsgegnerin behauptet, der VVS sei kein ÖPNV-Betreiber. Dies ist in relevanter Hinsicht falsch:</w:t>
      </w:r>
    </w:p>
    <w:p>
      <w:pPr>
        <w:pStyle w:val="ListBullet"/>
      </w:pPr>
      <w:r>
        <w:t>Der VVS ist Gesellschafter der Stuttgarter Straßenbahnen AG und koordiniert den KRITIS-relevanten Fahrgastinformationsverbund für 42 Verkehrsunternehmen.</w:t>
      </w:r>
    </w:p>
    <w:p>
      <w:pPr>
        <w:pStyle w:val="ListBullet"/>
      </w:pPr>
      <w:r>
        <w:t>Der VVS ist als "wichtige Einrichtung" im Sinne der NIS2-Richtlinie klassifiziert und als KRITIS-Betreiber (Sektor Verkehr, Fahrgastinformationssysteme) registriert.</w:t>
      </w:r>
    </w:p>
    <w:p>
      <w:pPr>
        <w:pStyle w:val="ListBullet"/>
      </w:pPr>
      <w:r>
        <w:t>Das bei der VVS erbrachte ISMS-Projekt betraf explizit die IT-Systeme des ÖPNV-Verbunds, nicht allgemeines Büro-IT.</w:t>
      </w:r>
    </w:p>
    <w:p>
      <w:pPr>
        <w:pStyle w:val="Heading3"/>
      </w:pPr>
      <w:r>
        <w:t>2.3 Aufklärungsgespräch ProtectIT (konkret)</w:t>
      </w:r>
    </w:p>
    <w:p>
      <w:pPr>
        <w:keepNext/>
        <w:keepLines/>
      </w:pPr>
      <w:r>
        <w:t>Aus dem Vergabevermerk (der Antragstellerin nach Akteneinsicht gem. § 165 GWB übermittelt) ergibt sich: Am 08.04.2026 fand ein Aufklärungsgespräch mit ProtectIT SE statt. Im Vergabevermerk heißt es: "ProtectIT SE hat nach dem Gespräch eine überarbeitete Fassung des Reaktionszeitenkonzepts übersandt (Datum: 10.04.2026)."</w:t>
      </w:r>
    </w:p>
    <w:p>
      <w:pPr>
        <w:keepNext/>
        <w:keepLines/>
      </w:pPr>
      <w:r>
        <w:t>Die Übersendung einer überarbeiteten Fassung nach dem Aufklärungsgespräch ist per se keine Aufklärung nach § 15 VgV, sondern eine inhaltliche Angebotsänderung, die gem. § 15 Abs. 5 VgV unzulässig ist. Aufklärungsgespräche dürfen lediglich der Erläuterung des vorliegenden Angebots dienen, nicht seiner Verbesserung.</w:t>
      </w:r>
    </w:p>
    <w:p>
      <w:pPr>
        <w:keepNext/>
        <w:keepLines/>
      </w:pPr>
      <w:r>
        <w:t>Dies begründet den eigenständigen Vergabeverstoß "unzulässige Nachverhandlung".</w:t>
      </w:r>
    </w:p>
    <w:p>
      <w:pPr>
        <w:pStyle w:val="Heading2"/>
        <w:keepNext/>
        <w:keepLines/>
      </w:pPr>
      <w:r>
        <w:t>3. Beweisantrag</w:t>
      </w:r>
    </w:p>
    <w:p>
      <w:pPr>
        <w:keepNext/>
        <w:keepLines/>
      </w:pPr>
      <w:r>
        <w:t>Die Antragstellerin beantragt, der Kammer die überarbeitete Fassung des Reaktionszeitenkonzepts der ProtectIT SE (Übersendung 10.04.2026) zur Akteneinsicht vorzulegen und zu prüfen, ob es sich um eine zulässige Aufklärung oder eine unzulässige Angebotsänderung handelt.</w:t>
      </w:r>
    </w:p>
    <w:p>
      <w:pPr>
        <w:keepLines/>
      </w:pPr>
      <w:r>
        <w:t>Dr. Constantin Bährens Rechtsanwalt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4/26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Bährens Vergaberecht Rechtsanwaltsgesellschaft mbH</w:t>
      <w:t xml:space="preserve">  |  VK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Erwiderung CyberShield auf Vergabestellen-Stellungnahme</dc:title>
  <dc:subject>Vergabeakte | Az. VK 4/26</dc:subject>
  <dc:creator>Bährens Vergaberecht Rechtsanwaltsgesellschaft mbH</dc:creator>
  <cp:keywords>Vergaberecht, VK 4/26</cp:keywords>
  <dc:description>generated by python-docx</dc:description>
  <cp:lastModifiedBy>Bährens Vergaberecht Rechtsanwaltsgesellschaft mbH</cp:lastModifiedBy>
  <cp:revision>1</cp:revision>
  <dcterms:created xsi:type="dcterms:W3CDTF">2000-01-01T00:00:00Z</dcterms:created>
  <dcterms:modified xsi:type="dcterms:W3CDTF">2000-01-01T00:00:00Z</dcterms:modified>
  <cp:category>Vergabeakte</cp:category>
</cp:coreProperties>
</file>