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071"/>
        <w:jc w:val="left"/>
        <w:tblLayout w:type="fixed"/>
        <w:tblLook w:firstColumn="1" w:firstRow="1" w:lastColumn="0" w:lastRow="0" w:noHBand="0" w:noVBand="1" w:val="04A0"/>
      </w:tblPr>
      <w:tblGrid>
        <w:gridCol w:w="5499"/>
        <w:gridCol w:w="3572"/>
      </w:tblGrid>
      <w:tr>
        <w:tc>
          <w:tcPr>
            <w:tcW w:type="dxa" w:w="5499"/>
            <w:vAlign w:val="top"/>
            <w:tcMar>
              <w:top w:w="0" w:type="dxa"/>
              <w:start w:w="0" w:type="dxa"/>
              <w:bottom w:w="100" w:type="dxa"/>
              <w:end w:w="0" w:type="dxa"/>
            </w:tcMar>
          </w:tcPr>
          <w:p>
            <w:pPr>
              <w:spacing w:after="20"/>
              <w:pBdr>
                <w:bottom w:val="single" w:sz="6" w:space="5" w:color="01696F"/>
              </w:pBdr>
            </w:pPr>
            <w:r>
              <w:rPr>
                <w:rFonts w:ascii="Times New Roman" w:hAnsi="Times New Roman"/>
                <w:b/>
                <w:color w:val="01696F"/>
                <w:sz w:val="24"/>
              </w:rPr>
              <w:t>Landeshauptstadt Schwerin - Rechtsamt</w:t>
            </w:r>
          </w:p>
          <w:p>
            <w:pPr>
              <w:spacing w:after="0"/>
            </w:pPr>
            <w:r>
              <w:rPr>
                <w:color w:val="646464"/>
                <w:sz w:val="18"/>
              </w:rPr>
              <w:t>Am Grünen Tal 18, 19063 Schwerin</w:t>
            </w:r>
          </w:p>
        </w:tc>
        <w:tc>
          <w:tcPr>
            <w:tcW w:type="dxa" w:w="3572"/>
            <w:vAlign w:val="top"/>
            <w:tcMar>
              <w:top w:w="0" w:type="dxa"/>
              <w:start w:w="0" w:type="dxa"/>
              <w:bottom w:w="100" w:type="dxa"/>
              <w:end w:w="0" w:type="dxa"/>
            </w:tcMar>
          </w:tcPr>
          <w:p>
            <w:pPr>
              <w:spacing w:after="0"/>
              <w:jc w:val="right"/>
              <w:pBdr>
                <w:bottom w:val="single" w:sz="6" w:space="5" w:color="01696F"/>
              </w:pBdr>
            </w:pPr>
            <w:r>
              <w:rPr>
                <w:rFonts w:ascii="Times New Roman" w:hAnsi="Times New Roman"/>
                <w:color w:val="646464"/>
                <w:sz w:val="18"/>
              </w:rPr>
              <w:t>Datum: 15.07.2026</w:t>
              <w:br/>
            </w:r>
            <w:r>
              <w:rPr>
                <w:rFonts w:ascii="Times New Roman" w:hAnsi="Times New Roman"/>
                <w:color w:val="646464"/>
                <w:sz w:val="18"/>
              </w:rPr>
              <w:t>Aktenzeichen: 17 Verg 2/26</w:t>
              <w:br/>
            </w:r>
            <w:r>
              <w:rPr>
                <w:rFonts w:ascii="Times New Roman" w:hAnsi="Times New Roman"/>
                <w:color w:val="646464"/>
                <w:sz w:val="18"/>
              </w:rPr>
              <w:t>Vertraulicher Prozessvermerk</w:t>
            </w:r>
          </w:p>
        </w:tc>
      </w:tr>
    </w:tbl>
    <w:p>
      <w:pPr>
        <w:spacing w:before="200" w:after="40"/>
      </w:pPr>
      <w:r>
        <w:rPr>
          <w:rFonts w:ascii="Times New Roman" w:hAnsi="Times New Roman"/>
          <w:color w:val="646464"/>
          <w:sz w:val="15"/>
        </w:rPr>
        <w:t>Landeshauptstadt Schwerin - Rechtsamt · Am Grünen Tal 18, 19063 Schwerin</w:t>
      </w:r>
    </w:p>
    <w:p>
      <w:pPr>
        <w:spacing w:after="240"/>
      </w:pPr>
      <w:r>
        <w:t>Werkleitung SDS und Prozessbevollmächtigte</w:t>
      </w:r>
    </w:p>
    <w:p>
      <w:pPr>
        <w:pStyle w:val="Title"/>
      </w:pPr>
      <w:r>
        <w:t>Risikomatrix und Vergleichskorridor nach Eingang der gerichtlichen Verfügung</w:t>
      </w:r>
    </w:p>
    <w:p>
      <w:pPr>
        <w:pStyle w:val="Heading1"/>
      </w:pPr>
      <w:r>
        <w:t>Prozesslage</w:t>
      </w:r>
    </w:p>
    <w:p>
      <w:r>
        <w:t>Die Stadt greift die Zuschlagsuntersagung der Vergabekammer an. Wegen des Verfahrensbeginns im Februar 2026 gilt nach § 187 Abs. 2 GWB das bis 30.06.2026 maßgebliche Recht fort. Der im Altrecht geregelte Verlängerungsantrag nach § 173 Abs. 1 Satz 3 betraf die Beschwerde des vor der Vergabekammer unterlegenen Antragstellers. Die Stadt ist Beschwerdeführerin gegen eine stattgebende Entscheidung und stützt ihren Eilbedarf daher nicht auf diesen Tatbestand.</w:t>
      </w:r>
    </w:p>
    <w:p>
      <w:pPr>
        <w:pStyle w:val="Heading1"/>
      </w:pPr>
      <w:r>
        <w:t>Risikomatrix</w:t>
      </w:r>
    </w:p>
    <w:tbl>
      <w:tblPr>
        <w:tblStyle w:val="TableGrid"/>
        <w:tblW w:type="dxa" w:w="9071"/>
        <w:jc w:val="left"/>
        <w:tblLayout w:type="fixed"/>
        <w:tblLook w:firstColumn="1" w:firstRow="1" w:lastColumn="0" w:lastRow="0" w:noHBand="0" w:noVBand="1" w:val="04A0"/>
      </w:tblPr>
      <w:tblGrid>
        <w:gridCol w:w="1649"/>
        <w:gridCol w:w="1901"/>
        <w:gridCol w:w="2311"/>
        <w:gridCol w:w="1373"/>
        <w:gridCol w:w="1837"/>
      </w:tblGrid>
      <w:tr>
        <w:trPr>
          <w:tblHeader w:val="true"/>
          <w:cantSplit/>
        </w:trPr>
        <w:tc>
          <w:tcPr>
            <w:tcW w:type="dxa" w:w="1649"/>
            <w:vAlign w:val="top"/>
            <w:tcMar>
              <w:top w:w="60" w:type="dxa"/>
              <w:start w:w="90" w:type="dxa"/>
              <w:bottom w:w="60" w:type="dxa"/>
              <w:end w:w="90" w:type="dxa"/>
            </w:tcMar>
            <w:shd w:fill="01696F"/>
          </w:tcPr>
          <w:p>
            <w:pPr>
              <w:keepLines/>
              <w:spacing w:after="0"/>
            </w:pPr>
            <w:r/>
            <w:r>
              <w:rPr>
                <w:rFonts w:ascii="Times New Roman" w:hAnsi="Times New Roman"/>
                <w:b/>
                <w:color w:val="FFFFFF"/>
                <w:sz w:val="17"/>
              </w:rPr>
              <w:t>Streitpunkt</w:t>
            </w:r>
          </w:p>
        </w:tc>
        <w:tc>
          <w:tcPr>
            <w:tcW w:type="dxa" w:w="1901"/>
            <w:vAlign w:val="top"/>
            <w:tcMar>
              <w:top w:w="60" w:type="dxa"/>
              <w:start w:w="90" w:type="dxa"/>
              <w:bottom w:w="60" w:type="dxa"/>
              <w:end w:w="90" w:type="dxa"/>
            </w:tcMar>
            <w:shd w:fill="01696F"/>
          </w:tcPr>
          <w:p>
            <w:pPr>
              <w:keepLines/>
              <w:spacing w:after="0"/>
            </w:pPr>
            <w:r/>
            <w:r>
              <w:rPr>
                <w:rFonts w:ascii="Times New Roman" w:hAnsi="Times New Roman"/>
                <w:b/>
                <w:color w:val="FFFFFF"/>
                <w:sz w:val="17"/>
              </w:rPr>
              <w:t>belastende Aktenlage</w:t>
            </w:r>
          </w:p>
        </w:tc>
        <w:tc>
          <w:tcPr>
            <w:tcW w:type="dxa" w:w="2311"/>
            <w:vAlign w:val="top"/>
            <w:tcMar>
              <w:top w:w="60" w:type="dxa"/>
              <w:start w:w="90" w:type="dxa"/>
              <w:bottom w:w="60" w:type="dxa"/>
              <w:end w:w="90" w:type="dxa"/>
            </w:tcMar>
            <w:shd w:fill="01696F"/>
          </w:tcPr>
          <w:p>
            <w:pPr>
              <w:keepLines/>
              <w:spacing w:after="0"/>
            </w:pPr>
            <w:r/>
            <w:r>
              <w:rPr>
                <w:rFonts w:ascii="Times New Roman" w:hAnsi="Times New Roman"/>
                <w:b/>
                <w:color w:val="FFFFFF"/>
                <w:sz w:val="17"/>
              </w:rPr>
              <w:t>entlastende Aktenlage</w:t>
            </w:r>
          </w:p>
        </w:tc>
        <w:tc>
          <w:tcPr>
            <w:tcW w:type="dxa" w:w="1373"/>
            <w:vAlign w:val="top"/>
            <w:tcMar>
              <w:top w:w="60" w:type="dxa"/>
              <w:start w:w="90" w:type="dxa"/>
              <w:bottom w:w="60" w:type="dxa"/>
              <w:end w:w="90" w:type="dxa"/>
            </w:tcMar>
            <w:shd w:fill="01696F"/>
          </w:tcPr>
          <w:p>
            <w:pPr>
              <w:keepLines/>
              <w:spacing w:after="0"/>
            </w:pPr>
            <w:r/>
            <w:r>
              <w:rPr>
                <w:rFonts w:ascii="Times New Roman" w:hAnsi="Times New Roman"/>
                <w:b/>
                <w:color w:val="FFFFFF"/>
                <w:sz w:val="17"/>
              </w:rPr>
              <w:t>Risiko</w:t>
            </w:r>
          </w:p>
        </w:tc>
        <w:tc>
          <w:tcPr>
            <w:tcW w:type="dxa" w:w="1837"/>
            <w:vAlign w:val="top"/>
            <w:tcMar>
              <w:top w:w="60" w:type="dxa"/>
              <w:start w:w="90" w:type="dxa"/>
              <w:bottom w:w="60" w:type="dxa"/>
              <w:end w:w="90" w:type="dxa"/>
            </w:tcMar>
            <w:shd w:fill="01696F"/>
          </w:tcPr>
          <w:p>
            <w:pPr>
              <w:keepLines/>
              <w:spacing w:after="0"/>
            </w:pPr>
            <w:r/>
            <w:r>
              <w:rPr>
                <w:rFonts w:ascii="Times New Roman" w:hAnsi="Times New Roman"/>
                <w:b/>
                <w:color w:val="FFFFFF"/>
                <w:sz w:val="17"/>
              </w:rPr>
              <w:t>mögliche Rechtsfolge</w:t>
            </w:r>
          </w:p>
        </w:tc>
      </w:tr>
      <w:tr>
        <w:trPr>
          <w:cantSplit/>
        </w:trPr>
        <w:tc>
          <w:tcPr>
            <w:tcW w:type="dxa" w:w="1649"/>
            <w:vAlign w:val="top"/>
            <w:tcMar>
              <w:top w:w="60" w:type="dxa"/>
              <w:start w:w="90" w:type="dxa"/>
              <w:bottom w:w="60" w:type="dxa"/>
              <w:end w:w="90" w:type="dxa"/>
            </w:tcMar>
          </w:tcPr>
          <w:p>
            <w:pPr>
              <w:keepLines/>
              <w:spacing w:after="0"/>
            </w:pPr>
            <w:r/>
            <w:r>
              <w:rPr>
                <w:rFonts w:ascii="Times New Roman" w:hAnsi="Times New Roman"/>
                <w:sz w:val="17"/>
              </w:rPr>
              <w:t>Auslegung T-2</w:t>
            </w:r>
          </w:p>
        </w:tc>
        <w:tc>
          <w:tcPr>
            <w:tcW w:type="dxa" w:w="1901"/>
            <w:vAlign w:val="top"/>
            <w:tcMar>
              <w:top w:w="60" w:type="dxa"/>
              <w:start w:w="90" w:type="dxa"/>
              <w:bottom w:w="60" w:type="dxa"/>
              <w:end w:w="90" w:type="dxa"/>
            </w:tcMar>
          </w:tcPr>
          <w:p>
            <w:pPr>
              <w:keepLines/>
              <w:spacing w:after="0"/>
            </w:pPr>
            <w:r/>
            <w:r>
              <w:rPr>
                <w:rFonts w:ascii="Times New Roman" w:hAnsi="Times New Roman"/>
                <w:sz w:val="17"/>
              </w:rPr>
              <w:t>Muss-Anforderung nicht wörtlich hervorgehoben</w:t>
            </w:r>
          </w:p>
        </w:tc>
        <w:tc>
          <w:tcPr>
            <w:tcW w:type="dxa" w:w="2311"/>
            <w:vAlign w:val="top"/>
            <w:tcMar>
              <w:top w:w="60" w:type="dxa"/>
              <w:start w:w="90" w:type="dxa"/>
              <w:bottom w:w="60" w:type="dxa"/>
              <w:end w:w="90" w:type="dxa"/>
            </w:tcMar>
          </w:tcPr>
          <w:p>
            <w:pPr>
              <w:keepLines/>
              <w:spacing w:after="0"/>
            </w:pPr>
            <w:r/>
            <w:r>
              <w:rPr>
                <w:rFonts w:ascii="Times New Roman" w:hAnsi="Times New Roman"/>
                <w:sz w:val="17"/>
              </w:rPr>
              <w:t>Leistungszusammenhang nennt 24/7-Betrieb</w:t>
            </w:r>
          </w:p>
        </w:tc>
        <w:tc>
          <w:tcPr>
            <w:tcW w:type="dxa" w:w="1373"/>
            <w:vAlign w:val="top"/>
            <w:tcMar>
              <w:top w:w="60" w:type="dxa"/>
              <w:start w:w="90" w:type="dxa"/>
              <w:bottom w:w="60" w:type="dxa"/>
              <w:end w:w="90" w:type="dxa"/>
            </w:tcMar>
          </w:tcPr>
          <w:p>
            <w:pPr>
              <w:keepLines/>
              <w:spacing w:after="0"/>
            </w:pPr>
            <w:r/>
            <w:r>
              <w:rPr>
                <w:rFonts w:ascii="Times New Roman" w:hAnsi="Times New Roman"/>
                <w:sz w:val="17"/>
              </w:rPr>
              <w:t>hoch</w:t>
            </w:r>
          </w:p>
        </w:tc>
        <w:tc>
          <w:tcPr>
            <w:tcW w:type="dxa" w:w="1837"/>
            <w:vAlign w:val="top"/>
            <w:tcMar>
              <w:top w:w="60" w:type="dxa"/>
              <w:start w:w="90" w:type="dxa"/>
              <w:bottom w:w="60" w:type="dxa"/>
              <w:end w:w="90" w:type="dxa"/>
            </w:tcMar>
          </w:tcPr>
          <w:p>
            <w:pPr>
              <w:keepLines/>
              <w:spacing w:after="0"/>
            </w:pPr>
            <w:r/>
            <w:r>
              <w:rPr>
                <w:rFonts w:ascii="Times New Roman" w:hAnsi="Times New Roman"/>
                <w:sz w:val="17"/>
              </w:rPr>
              <w:t>neue Auslegung oder Rückversetzung</w:t>
            </w:r>
          </w:p>
        </w:tc>
      </w:tr>
      <w:tr>
        <w:trPr>
          <w:cantSplit/>
        </w:trPr>
        <w:tc>
          <w:tcPr>
            <w:tcW w:type="dxa" w:w="1649"/>
            <w:vAlign w:val="top"/>
            <w:tcMar>
              <w:top w:w="60" w:type="dxa"/>
              <w:start w:w="90" w:type="dxa"/>
              <w:bottom w:w="60" w:type="dxa"/>
              <w:end w:w="90" w:type="dxa"/>
            </w:tcMar>
            <w:shd w:fill="F1F3F3"/>
          </w:tcPr>
          <w:p>
            <w:pPr>
              <w:keepLines/>
              <w:spacing w:after="0"/>
            </w:pPr>
            <w:r/>
            <w:r>
              <w:rPr>
                <w:rFonts w:ascii="Times New Roman" w:hAnsi="Times New Roman"/>
                <w:sz w:val="17"/>
              </w:rPr>
              <w:t>VVS-Referenz</w:t>
            </w:r>
          </w:p>
        </w:tc>
        <w:tc>
          <w:tcPr>
            <w:tcW w:type="dxa" w:w="1901"/>
            <w:vAlign w:val="top"/>
            <w:tcMar>
              <w:top w:w="60" w:type="dxa"/>
              <w:start w:w="90" w:type="dxa"/>
              <w:bottom w:w="60" w:type="dxa"/>
              <w:end w:w="90" w:type="dxa"/>
            </w:tcMar>
            <w:shd w:fill="F1F3F3"/>
          </w:tcPr>
          <w:p>
            <w:pPr>
              <w:keepLines/>
              <w:spacing w:after="0"/>
            </w:pPr>
            <w:r/>
            <w:r>
              <w:rPr>
                <w:rFonts w:ascii="Times New Roman" w:hAnsi="Times New Roman"/>
                <w:sz w:val="17"/>
              </w:rPr>
              <w:t>Beratung statt dauerhafter SOC-Betrieb</w:t>
            </w:r>
          </w:p>
        </w:tc>
        <w:tc>
          <w:tcPr>
            <w:tcW w:type="dxa" w:w="2311"/>
            <w:vAlign w:val="top"/>
            <w:tcMar>
              <w:top w:w="60" w:type="dxa"/>
              <w:start w:w="90" w:type="dxa"/>
              <w:bottom w:w="60" w:type="dxa"/>
              <w:end w:w="90" w:type="dxa"/>
            </w:tcMar>
            <w:shd w:fill="F1F3F3"/>
          </w:tcPr>
          <w:p>
            <w:pPr>
              <w:keepLines/>
              <w:spacing w:after="0"/>
            </w:pPr>
            <w:r/>
            <w:r>
              <w:rPr>
                <w:rFonts w:ascii="Times New Roman" w:hAnsi="Times New Roman"/>
                <w:sz w:val="17"/>
              </w:rPr>
              <w:t>sicherheitskritischer ÖPNV-Bezug und vergleichbare Größenordnung</w:t>
            </w:r>
          </w:p>
        </w:tc>
        <w:tc>
          <w:tcPr>
            <w:tcW w:type="dxa" w:w="1373"/>
            <w:vAlign w:val="top"/>
            <w:tcMar>
              <w:top w:w="60" w:type="dxa"/>
              <w:start w:w="90" w:type="dxa"/>
              <w:bottom w:w="60" w:type="dxa"/>
              <w:end w:w="90" w:type="dxa"/>
            </w:tcMar>
            <w:shd w:fill="F1F3F3"/>
          </w:tcPr>
          <w:p>
            <w:pPr>
              <w:keepLines/>
              <w:spacing w:after="0"/>
            </w:pPr>
            <w:r/>
            <w:r>
              <w:rPr>
                <w:rFonts w:ascii="Times New Roman" w:hAnsi="Times New Roman"/>
                <w:sz w:val="17"/>
              </w:rPr>
              <w:t>mittel bis hoch</w:t>
            </w:r>
          </w:p>
        </w:tc>
        <w:tc>
          <w:tcPr>
            <w:tcW w:type="dxa" w:w="1837"/>
            <w:vAlign w:val="top"/>
            <w:tcMar>
              <w:top w:w="60" w:type="dxa"/>
              <w:start w:w="90" w:type="dxa"/>
              <w:bottom w:w="60" w:type="dxa"/>
              <w:end w:w="90" w:type="dxa"/>
            </w:tcMar>
            <w:shd w:fill="F1F3F3"/>
          </w:tcPr>
          <w:p>
            <w:pPr>
              <w:keepLines/>
              <w:spacing w:after="0"/>
            </w:pPr>
            <w:r/>
            <w:r>
              <w:rPr>
                <w:rFonts w:ascii="Times New Roman" w:hAnsi="Times New Roman"/>
                <w:sz w:val="17"/>
              </w:rPr>
              <w:t>erneute Referenzprüfung</w:t>
            </w:r>
          </w:p>
        </w:tc>
      </w:tr>
      <w:tr>
        <w:trPr>
          <w:cantSplit/>
        </w:trPr>
        <w:tc>
          <w:tcPr>
            <w:tcW w:type="dxa" w:w="1649"/>
            <w:vAlign w:val="top"/>
            <w:tcMar>
              <w:top w:w="60" w:type="dxa"/>
              <w:start w:w="90" w:type="dxa"/>
              <w:bottom w:w="60" w:type="dxa"/>
              <w:end w:w="90" w:type="dxa"/>
            </w:tcMar>
          </w:tcPr>
          <w:p>
            <w:pPr>
              <w:keepLines/>
              <w:spacing w:after="0"/>
            </w:pPr>
            <w:r/>
            <w:r>
              <w:rPr>
                <w:rFonts w:ascii="Times New Roman" w:hAnsi="Times New Roman"/>
                <w:sz w:val="17"/>
              </w:rPr>
              <w:t>Konzept v2</w:t>
            </w:r>
          </w:p>
        </w:tc>
        <w:tc>
          <w:tcPr>
            <w:tcW w:type="dxa" w:w="1901"/>
            <w:vAlign w:val="top"/>
            <w:tcMar>
              <w:top w:w="60" w:type="dxa"/>
              <w:start w:w="90" w:type="dxa"/>
              <w:bottom w:w="60" w:type="dxa"/>
              <w:end w:w="90" w:type="dxa"/>
            </w:tcMar>
          </w:tcPr>
          <w:p>
            <w:pPr>
              <w:keepLines/>
              <w:spacing w:after="0"/>
            </w:pPr>
            <w:r/>
            <w:r>
              <w:rPr>
                <w:rFonts w:ascii="Times New Roman" w:hAnsi="Times New Roman"/>
                <w:sz w:val="17"/>
              </w:rPr>
              <w:t>Reaktionszeit und Vor-Ort-Zusage geändert</w:t>
            </w:r>
          </w:p>
        </w:tc>
        <w:tc>
          <w:tcPr>
            <w:tcW w:type="dxa" w:w="2311"/>
            <w:vAlign w:val="top"/>
            <w:tcMar>
              <w:top w:w="60" w:type="dxa"/>
              <w:start w:w="90" w:type="dxa"/>
              <w:bottom w:w="60" w:type="dxa"/>
              <w:end w:w="90" w:type="dxa"/>
            </w:tcMar>
          </w:tcPr>
          <w:p>
            <w:pPr>
              <w:keepLines/>
              <w:spacing w:after="0"/>
            </w:pPr>
            <w:r/>
            <w:r>
              <w:rPr>
                <w:rFonts w:ascii="Times New Roman" w:hAnsi="Times New Roman"/>
                <w:sz w:val="17"/>
              </w:rPr>
              <w:t>Aufklärungsfrage zielte auf Widerspruch</w:t>
            </w:r>
          </w:p>
        </w:tc>
        <w:tc>
          <w:tcPr>
            <w:tcW w:type="dxa" w:w="1373"/>
            <w:vAlign w:val="top"/>
            <w:tcMar>
              <w:top w:w="60" w:type="dxa"/>
              <w:start w:w="90" w:type="dxa"/>
              <w:bottom w:w="60" w:type="dxa"/>
              <w:end w:w="90" w:type="dxa"/>
            </w:tcMar>
          </w:tcPr>
          <w:p>
            <w:pPr>
              <w:keepLines/>
              <w:spacing w:after="0"/>
            </w:pPr>
            <w:r/>
            <w:r>
              <w:rPr>
                <w:rFonts w:ascii="Times New Roman" w:hAnsi="Times New Roman"/>
                <w:sz w:val="17"/>
              </w:rPr>
              <w:t>sehr hoch</w:t>
            </w:r>
          </w:p>
        </w:tc>
        <w:tc>
          <w:tcPr>
            <w:tcW w:type="dxa" w:w="1837"/>
            <w:vAlign w:val="top"/>
            <w:tcMar>
              <w:top w:w="60" w:type="dxa"/>
              <w:start w:w="90" w:type="dxa"/>
              <w:bottom w:w="60" w:type="dxa"/>
              <w:end w:w="90" w:type="dxa"/>
            </w:tcMar>
          </w:tcPr>
          <w:p>
            <w:pPr>
              <w:keepLines/>
              <w:spacing w:after="0"/>
            </w:pPr>
            <w:r/>
            <w:r>
              <w:rPr>
                <w:rFonts w:ascii="Times New Roman" w:hAnsi="Times New Roman"/>
                <w:sz w:val="17"/>
              </w:rPr>
              <w:t>Ausschluss oder Neubewertung ProtectIT</w:t>
            </w:r>
          </w:p>
        </w:tc>
      </w:tr>
      <w:tr>
        <w:trPr>
          <w:cantSplit/>
        </w:trPr>
        <w:tc>
          <w:tcPr>
            <w:tcW w:type="dxa" w:w="1649"/>
            <w:vAlign w:val="top"/>
            <w:tcMar>
              <w:top w:w="60" w:type="dxa"/>
              <w:start w:w="90" w:type="dxa"/>
              <w:bottom w:w="60" w:type="dxa"/>
              <w:end w:w="90" w:type="dxa"/>
            </w:tcMar>
            <w:shd w:fill="F1F3F3"/>
          </w:tcPr>
          <w:p>
            <w:pPr>
              <w:keepLines/>
              <w:spacing w:after="0"/>
            </w:pPr>
            <w:r/>
            <w:r>
              <w:rPr>
                <w:rFonts w:ascii="Times New Roman" w:hAnsi="Times New Roman"/>
                <w:sz w:val="17"/>
              </w:rPr>
              <w:t>Dokumentation</w:t>
            </w:r>
          </w:p>
        </w:tc>
        <w:tc>
          <w:tcPr>
            <w:tcW w:type="dxa" w:w="1901"/>
            <w:vAlign w:val="top"/>
            <w:tcMar>
              <w:top w:w="60" w:type="dxa"/>
              <w:start w:w="90" w:type="dxa"/>
              <w:bottom w:w="60" w:type="dxa"/>
              <w:end w:w="90" w:type="dxa"/>
            </w:tcMar>
            <w:shd w:fill="F1F3F3"/>
          </w:tcPr>
          <w:p>
            <w:pPr>
              <w:keepLines/>
              <w:spacing w:after="0"/>
            </w:pPr>
            <w:r/>
            <w:r>
              <w:rPr>
                <w:rFonts w:ascii="Times New Roman" w:hAnsi="Times New Roman"/>
                <w:sz w:val="17"/>
              </w:rPr>
              <w:t>Diff-Datei erst nach Aufklärung erstellt</w:t>
            </w:r>
          </w:p>
        </w:tc>
        <w:tc>
          <w:tcPr>
            <w:tcW w:type="dxa" w:w="2311"/>
            <w:vAlign w:val="top"/>
            <w:tcMar>
              <w:top w:w="60" w:type="dxa"/>
              <w:start w:w="90" w:type="dxa"/>
              <w:bottom w:w="60" w:type="dxa"/>
              <w:end w:w="90" w:type="dxa"/>
            </w:tcMar>
            <w:shd w:fill="F1F3F3"/>
          </w:tcPr>
          <w:p>
            <w:pPr>
              <w:keepLines/>
              <w:spacing w:after="0"/>
            </w:pPr>
            <w:r/>
            <w:r>
              <w:rPr>
                <w:rFonts w:ascii="Times New Roman" w:hAnsi="Times New Roman"/>
                <w:sz w:val="17"/>
              </w:rPr>
              <w:t>Portalzeitstempel vollständig</w:t>
            </w:r>
          </w:p>
        </w:tc>
        <w:tc>
          <w:tcPr>
            <w:tcW w:type="dxa" w:w="1373"/>
            <w:vAlign w:val="top"/>
            <w:tcMar>
              <w:top w:w="60" w:type="dxa"/>
              <w:start w:w="90" w:type="dxa"/>
              <w:bottom w:w="60" w:type="dxa"/>
              <w:end w:w="90" w:type="dxa"/>
            </w:tcMar>
            <w:shd w:fill="F1F3F3"/>
          </w:tcPr>
          <w:p>
            <w:pPr>
              <w:keepLines/>
              <w:spacing w:after="0"/>
            </w:pPr>
            <w:r/>
            <w:r>
              <w:rPr>
                <w:rFonts w:ascii="Times New Roman" w:hAnsi="Times New Roman"/>
                <w:sz w:val="17"/>
              </w:rPr>
              <w:t>mittel</w:t>
            </w:r>
          </w:p>
        </w:tc>
        <w:tc>
          <w:tcPr>
            <w:tcW w:type="dxa" w:w="1837"/>
            <w:vAlign w:val="top"/>
            <w:tcMar>
              <w:top w:w="60" w:type="dxa"/>
              <w:start w:w="90" w:type="dxa"/>
              <w:bottom w:w="60" w:type="dxa"/>
              <w:end w:w="90" w:type="dxa"/>
            </w:tcMar>
            <w:shd w:fill="F1F3F3"/>
          </w:tcPr>
          <w:p>
            <w:pPr>
              <w:keepLines/>
              <w:spacing w:after="0"/>
            </w:pPr>
            <w:r/>
            <w:r>
              <w:rPr>
                <w:rFonts w:ascii="Times New Roman" w:hAnsi="Times New Roman"/>
                <w:sz w:val="17"/>
              </w:rPr>
              <w:t>Nachholung nur begrenzt verwertbar</w:t>
            </w:r>
          </w:p>
        </w:tc>
      </w:tr>
      <w:tr>
        <w:trPr>
          <w:cantSplit/>
        </w:trPr>
        <w:tc>
          <w:tcPr>
            <w:tcW w:type="dxa" w:w="1649"/>
            <w:vAlign w:val="top"/>
            <w:tcMar>
              <w:top w:w="60" w:type="dxa"/>
              <w:start w:w="90" w:type="dxa"/>
              <w:bottom w:w="60" w:type="dxa"/>
              <w:end w:w="90" w:type="dxa"/>
            </w:tcMar>
          </w:tcPr>
          <w:p>
            <w:pPr>
              <w:keepLines/>
              <w:spacing w:after="0"/>
            </w:pPr>
            <w:r/>
            <w:r>
              <w:rPr>
                <w:rFonts w:ascii="Times New Roman" w:hAnsi="Times New Roman"/>
                <w:sz w:val="17"/>
              </w:rPr>
              <w:t>Zuschlagschance CyberShield</w:t>
            </w:r>
          </w:p>
        </w:tc>
        <w:tc>
          <w:tcPr>
            <w:tcW w:type="dxa" w:w="1901"/>
            <w:vAlign w:val="top"/>
            <w:tcMar>
              <w:top w:w="60" w:type="dxa"/>
              <w:start w:w="90" w:type="dxa"/>
              <w:bottom w:w="60" w:type="dxa"/>
              <w:end w:w="90" w:type="dxa"/>
            </w:tcMar>
          </w:tcPr>
          <w:p>
            <w:pPr>
              <w:keepLines/>
              <w:spacing w:after="0"/>
            </w:pPr>
            <w:r/>
            <w:r>
              <w:rPr>
                <w:rFonts w:ascii="Times New Roman" w:hAnsi="Times New Roman"/>
                <w:sz w:val="17"/>
              </w:rPr>
              <w:t>Rangfolge bei Korrektur offen</w:t>
            </w:r>
          </w:p>
        </w:tc>
        <w:tc>
          <w:tcPr>
            <w:tcW w:type="dxa" w:w="2311"/>
            <w:vAlign w:val="top"/>
            <w:tcMar>
              <w:top w:w="60" w:type="dxa"/>
              <w:start w:w="90" w:type="dxa"/>
              <w:bottom w:w="60" w:type="dxa"/>
              <w:end w:w="90" w:type="dxa"/>
            </w:tcMar>
          </w:tcPr>
          <w:p>
            <w:pPr>
              <w:keepLines/>
              <w:spacing w:after="0"/>
            </w:pPr>
            <w:r/>
            <w:r>
              <w:rPr>
                <w:rFonts w:ascii="Times New Roman" w:hAnsi="Times New Roman"/>
                <w:sz w:val="17"/>
              </w:rPr>
              <w:t>CyberShield erfüllt Mindestanforderungen</w:t>
            </w:r>
          </w:p>
        </w:tc>
        <w:tc>
          <w:tcPr>
            <w:tcW w:type="dxa" w:w="1373"/>
            <w:vAlign w:val="top"/>
            <w:tcMar>
              <w:top w:w="60" w:type="dxa"/>
              <w:start w:w="90" w:type="dxa"/>
              <w:bottom w:w="60" w:type="dxa"/>
              <w:end w:w="90" w:type="dxa"/>
            </w:tcMar>
          </w:tcPr>
          <w:p>
            <w:pPr>
              <w:keepLines/>
              <w:spacing w:after="0"/>
            </w:pPr>
            <w:r/>
            <w:r>
              <w:rPr>
                <w:rFonts w:ascii="Times New Roman" w:hAnsi="Times New Roman"/>
                <w:sz w:val="17"/>
              </w:rPr>
              <w:t>mittel</w:t>
            </w:r>
          </w:p>
        </w:tc>
        <w:tc>
          <w:tcPr>
            <w:tcW w:type="dxa" w:w="1837"/>
            <w:vAlign w:val="top"/>
            <w:tcMar>
              <w:top w:w="60" w:type="dxa"/>
              <w:start w:w="90" w:type="dxa"/>
              <w:bottom w:w="60" w:type="dxa"/>
              <w:end w:w="90" w:type="dxa"/>
            </w:tcMar>
          </w:tcPr>
          <w:p>
            <w:pPr>
              <w:keepLines/>
              <w:spacing w:after="0"/>
            </w:pPr>
            <w:r/>
            <w:r>
              <w:rPr>
                <w:rFonts w:ascii="Times New Roman" w:hAnsi="Times New Roman"/>
                <w:sz w:val="17"/>
              </w:rPr>
              <w:t>Rückversetzung statt unmittelbarer Zuschlag</w:t>
            </w:r>
          </w:p>
        </w:tc>
      </w:tr>
    </w:tbl>
    <w:p>
      <w:pPr>
        <w:spacing w:after="0" w:before="40"/>
      </w:pPr>
    </w:p>
    <w:p>
      <w:pPr>
        <w:pStyle w:val="Heading1"/>
      </w:pPr>
      <w:r>
        <w:t>Vergleichskorridor</w:t>
      </w:r>
    </w:p>
    <w:p>
      <w:r>
        <w:t>Die Stadt kann ohne Anerkennung einer Rechtspflicht folgende Lösung anbieten:</w:t>
      </w:r>
    </w:p>
    <w:p>
      <w:pPr>
        <w:pStyle w:val="ListNumber"/>
      </w:pPr>
      <w:r>
        <w:t>Rückversetzung in die Wertung beider Angebote.</w:t>
      </w:r>
    </w:p>
    <w:p>
      <w:pPr>
        <w:pStyle w:val="ListNumber"/>
      </w:pPr>
      <w:r>
        <w:t>Bewertung allein anhand der bei Angebotsfrist eingegangenen Konzeptfassungen.</w:t>
      </w:r>
    </w:p>
    <w:p>
      <w:pPr>
        <w:pStyle w:val="ListNumber"/>
        <w:keepNext/>
        <w:keepLines/>
      </w:pPr>
      <w:r>
        <w:t>Erneute Prüfung der VVS-Referenz anhand einer vorab festgelegten Vergleichsmatrix.</w:t>
      </w:r>
    </w:p>
    <w:p>
      <w:pPr>
        <w:pStyle w:val="ListNumber"/>
        <w:keepNext/>
        <w:keepLines/>
      </w:pPr>
      <w:r>
        <w:t>Vollständige Dokumentation durch ein neu besetztes Bewertungsgremium.</w:t>
      </w:r>
    </w:p>
    <w:p>
      <w:pPr>
        <w:pStyle w:val="ListNumber"/>
        <w:keepNext/>
        <w:keepLines/>
      </w:pPr>
      <w:r>
        <w:t>Keine unmittelbare Zuschlagszusage an ein Unternehmen.</w:t>
      </w:r>
    </w:p>
    <w:p>
      <w:pPr>
        <w:pStyle w:val="ListNumber"/>
        <w:keepNext/>
        <w:keepLines/>
      </w:pPr>
      <w:r>
        <w:t>Kostenaufhebung bei Rücknahme der Beschwerde und Erledigung des Nachprüfungsverfahrens.</w:t>
      </w:r>
    </w:p>
    <w:p>
      <w:pPr>
        <w:keepNext/>
        <w:keepLines/>
      </w:pPr>
      <w:r>
        <w:t>Nicht freigegeben sind eine nachträgliche Heilung des Konzepts v2, eine Punktegarantie für ProtectIT oder eine Zahlung ohne belegten Rechtsgrund.</w:t>
      </w:r>
    </w:p>
    <w:p>
      <w:pPr>
        <w:pStyle w:val="Heading1"/>
        <w:keepNext/>
        <w:keepLines/>
      </w:pPr>
      <w:r>
        <w:t>Entscheidungsbedarf</w:t>
      </w:r>
    </w:p>
    <w:tbl>
      <w:tblPr>
        <w:tblStyle w:val="TableGrid"/>
        <w:tblW w:type="dxa" w:w="9071"/>
        <w:jc w:val="left"/>
        <w:tblLayout w:type="fixed"/>
        <w:tblLook w:firstColumn="1" w:firstRow="1" w:lastColumn="0" w:lastRow="0" w:noHBand="0" w:noVBand="1" w:val="04A0"/>
      </w:tblPr>
      <w:tblGrid>
        <w:gridCol w:w="2141"/>
        <w:gridCol w:w="2520"/>
        <w:gridCol w:w="1730"/>
        <w:gridCol w:w="2680"/>
      </w:tblGrid>
      <w:tr>
        <w:trPr>
          <w:tblHeader w:val="true"/>
          <w:cantSplit/>
        </w:trPr>
        <w:tc>
          <w:tcPr>
            <w:tcW w:type="dxa" w:w="2141"/>
            <w:vAlign w:val="top"/>
            <w:tcMar>
              <w:top w:w="60" w:type="dxa"/>
              <w:start w:w="90" w:type="dxa"/>
              <w:bottom w:w="60" w:type="dxa"/>
              <w:end w:w="90" w:type="dxa"/>
            </w:tcMar>
            <w:shd w:fill="01696F"/>
          </w:tcPr>
          <w:p>
            <w:pPr>
              <w:keepLines/>
              <w:spacing w:after="0"/>
            </w:pPr>
            <w:r/>
            <w:r>
              <w:rPr>
                <w:rFonts w:ascii="Times New Roman" w:hAnsi="Times New Roman"/>
                <w:b/>
                <w:color w:val="FFFFFF"/>
                <w:sz w:val="17"/>
              </w:rPr>
              <w:t>Entscheidung</w:t>
            </w:r>
          </w:p>
        </w:tc>
        <w:tc>
          <w:tcPr>
            <w:tcW w:type="dxa" w:w="2520"/>
            <w:vAlign w:val="top"/>
            <w:tcMar>
              <w:top w:w="60" w:type="dxa"/>
              <w:start w:w="90" w:type="dxa"/>
              <w:bottom w:w="60" w:type="dxa"/>
              <w:end w:w="90" w:type="dxa"/>
            </w:tcMar>
            <w:shd w:fill="01696F"/>
          </w:tcPr>
          <w:p>
            <w:pPr>
              <w:keepLines/>
              <w:spacing w:after="0"/>
            </w:pPr>
            <w:r/>
            <w:r>
              <w:rPr>
                <w:rFonts w:ascii="Times New Roman" w:hAnsi="Times New Roman"/>
                <w:b/>
                <w:color w:val="FFFFFF"/>
                <w:sz w:val="17"/>
              </w:rPr>
              <w:t>verantwortlich</w:t>
            </w:r>
          </w:p>
        </w:tc>
        <w:tc>
          <w:tcPr>
            <w:tcW w:type="dxa" w:w="1730"/>
            <w:vAlign w:val="top"/>
            <w:tcMar>
              <w:top w:w="60" w:type="dxa"/>
              <w:start w:w="90" w:type="dxa"/>
              <w:bottom w:w="60" w:type="dxa"/>
              <w:end w:w="90" w:type="dxa"/>
            </w:tcMar>
            <w:shd w:fill="01696F"/>
          </w:tcPr>
          <w:p>
            <w:pPr>
              <w:keepLines/>
              <w:spacing w:after="0"/>
            </w:pPr>
            <w:r/>
            <w:r>
              <w:rPr>
                <w:rFonts w:ascii="Times New Roman" w:hAnsi="Times New Roman"/>
                <w:b/>
                <w:color w:val="FFFFFF"/>
                <w:sz w:val="17"/>
              </w:rPr>
              <w:t>Frist</w:t>
            </w:r>
          </w:p>
        </w:tc>
        <w:tc>
          <w:tcPr>
            <w:tcW w:type="dxa" w:w="2680"/>
            <w:vAlign w:val="top"/>
            <w:tcMar>
              <w:top w:w="60" w:type="dxa"/>
              <w:start w:w="90" w:type="dxa"/>
              <w:bottom w:w="60" w:type="dxa"/>
              <w:end w:w="90" w:type="dxa"/>
            </w:tcMar>
            <w:shd w:fill="01696F"/>
          </w:tcPr>
          <w:p>
            <w:pPr>
              <w:keepLines/>
              <w:spacing w:after="0"/>
            </w:pPr>
            <w:r/>
            <w:r>
              <w:rPr>
                <w:rFonts w:ascii="Times New Roman" w:hAnsi="Times New Roman"/>
                <w:b/>
                <w:color w:val="FFFFFF"/>
                <w:sz w:val="17"/>
              </w:rPr>
              <w:t>Mindestbeleg</w:t>
            </w:r>
          </w:p>
        </w:tc>
      </w:tr>
      <w:tr>
        <w:trPr>
          <w:cantSplit/>
        </w:trPr>
        <w:tc>
          <w:tcPr>
            <w:tcW w:type="dxa" w:w="2141"/>
            <w:vAlign w:val="top"/>
            <w:tcMar>
              <w:top w:w="60" w:type="dxa"/>
              <w:start w:w="90" w:type="dxa"/>
              <w:bottom w:w="60" w:type="dxa"/>
              <w:end w:w="90" w:type="dxa"/>
            </w:tcMar>
          </w:tcPr>
          <w:p>
            <w:pPr>
              <w:keepLines/>
              <w:spacing w:after="0"/>
            </w:pPr>
            <w:r/>
            <w:r>
              <w:rPr>
                <w:rFonts w:ascii="Times New Roman" w:hAnsi="Times New Roman"/>
                <w:sz w:val="17"/>
              </w:rPr>
              <w:t>Vergleichsmandat</w:t>
            </w:r>
          </w:p>
        </w:tc>
        <w:tc>
          <w:tcPr>
            <w:tcW w:type="dxa" w:w="2520"/>
            <w:vAlign w:val="top"/>
            <w:tcMar>
              <w:top w:w="60" w:type="dxa"/>
              <w:start w:w="90" w:type="dxa"/>
              <w:bottom w:w="60" w:type="dxa"/>
              <w:end w:w="90" w:type="dxa"/>
            </w:tcMar>
          </w:tcPr>
          <w:p>
            <w:pPr>
              <w:keepLines/>
              <w:spacing w:after="0"/>
            </w:pPr>
            <w:r/>
            <w:r>
              <w:rPr>
                <w:rFonts w:ascii="Times New Roman" w:hAnsi="Times New Roman"/>
                <w:sz w:val="17"/>
              </w:rPr>
              <w:t>Werkleitung</w:t>
            </w:r>
          </w:p>
        </w:tc>
        <w:tc>
          <w:tcPr>
            <w:tcW w:type="dxa" w:w="1730"/>
            <w:vAlign w:val="top"/>
            <w:tcMar>
              <w:top w:w="60" w:type="dxa"/>
              <w:start w:w="90" w:type="dxa"/>
              <w:bottom w:w="60" w:type="dxa"/>
              <w:end w:w="90" w:type="dxa"/>
            </w:tcMar>
          </w:tcPr>
          <w:p>
            <w:pPr>
              <w:keepLines/>
              <w:spacing w:after="0"/>
            </w:pPr>
            <w:r/>
            <w:r>
              <w:rPr>
                <w:rFonts w:ascii="Times New Roman" w:hAnsi="Times New Roman"/>
                <w:sz w:val="17"/>
              </w:rPr>
              <w:t>16.07.2026, 12:00 Uhr</w:t>
            </w:r>
          </w:p>
        </w:tc>
        <w:tc>
          <w:tcPr>
            <w:tcW w:type="dxa" w:w="2680"/>
            <w:vAlign w:val="top"/>
            <w:tcMar>
              <w:top w:w="60" w:type="dxa"/>
              <w:start w:w="90" w:type="dxa"/>
              <w:bottom w:w="60" w:type="dxa"/>
              <w:end w:w="90" w:type="dxa"/>
            </w:tcMar>
          </w:tcPr>
          <w:p>
            <w:pPr>
              <w:keepLines/>
              <w:spacing w:after="0"/>
            </w:pPr>
            <w:r/>
            <w:r>
              <w:rPr>
                <w:rFonts w:ascii="Times New Roman" w:hAnsi="Times New Roman"/>
                <w:sz w:val="17"/>
              </w:rPr>
              <w:t>Wirtschaftlichkeits- und Betriebsfolgenvermerk</w:t>
            </w:r>
          </w:p>
        </w:tc>
      </w:tr>
      <w:tr>
        <w:trPr>
          <w:cantSplit/>
        </w:trPr>
        <w:tc>
          <w:tcPr>
            <w:tcW w:type="dxa" w:w="2141"/>
            <w:vAlign w:val="top"/>
            <w:tcMar>
              <w:top w:w="60" w:type="dxa"/>
              <w:start w:w="90" w:type="dxa"/>
              <w:bottom w:w="60" w:type="dxa"/>
              <w:end w:w="90" w:type="dxa"/>
            </w:tcMar>
            <w:shd w:fill="F1F3F3"/>
          </w:tcPr>
          <w:p>
            <w:pPr>
              <w:keepLines/>
              <w:spacing w:after="0"/>
            </w:pPr>
            <w:r/>
            <w:r>
              <w:rPr>
                <w:rFonts w:ascii="Times New Roman" w:hAnsi="Times New Roman"/>
                <w:sz w:val="17"/>
              </w:rPr>
              <w:t>Schwärzungsfreigabe</w:t>
            </w:r>
          </w:p>
        </w:tc>
        <w:tc>
          <w:tcPr>
            <w:tcW w:type="dxa" w:w="2520"/>
            <w:vAlign w:val="top"/>
            <w:tcMar>
              <w:top w:w="60" w:type="dxa"/>
              <w:start w:w="90" w:type="dxa"/>
              <w:bottom w:w="60" w:type="dxa"/>
              <w:end w:w="90" w:type="dxa"/>
            </w:tcMar>
            <w:shd w:fill="F1F3F3"/>
          </w:tcPr>
          <w:p>
            <w:pPr>
              <w:keepLines/>
              <w:spacing w:after="0"/>
            </w:pPr>
            <w:r/>
            <w:r>
              <w:rPr>
                <w:rFonts w:ascii="Times New Roman" w:hAnsi="Times New Roman"/>
                <w:sz w:val="17"/>
              </w:rPr>
              <w:t>Informationssicherheit und Rechtsamt</w:t>
            </w:r>
          </w:p>
        </w:tc>
        <w:tc>
          <w:tcPr>
            <w:tcW w:type="dxa" w:w="1730"/>
            <w:vAlign w:val="top"/>
            <w:tcMar>
              <w:top w:w="60" w:type="dxa"/>
              <w:start w:w="90" w:type="dxa"/>
              <w:bottom w:w="60" w:type="dxa"/>
              <w:end w:w="90" w:type="dxa"/>
            </w:tcMar>
            <w:shd w:fill="F1F3F3"/>
          </w:tcPr>
          <w:p>
            <w:pPr>
              <w:keepLines/>
              <w:spacing w:after="0"/>
            </w:pPr>
            <w:r/>
            <w:r>
              <w:rPr>
                <w:rFonts w:ascii="Times New Roman" w:hAnsi="Times New Roman"/>
                <w:sz w:val="17"/>
              </w:rPr>
              <w:t>15.07.2026, 16:00 Uhr</w:t>
            </w:r>
          </w:p>
        </w:tc>
        <w:tc>
          <w:tcPr>
            <w:tcW w:type="dxa" w:w="2680"/>
            <w:vAlign w:val="top"/>
            <w:tcMar>
              <w:top w:w="60" w:type="dxa"/>
              <w:start w:w="90" w:type="dxa"/>
              <w:bottom w:w="60" w:type="dxa"/>
              <w:end w:w="90" w:type="dxa"/>
            </w:tcMar>
            <w:shd w:fill="F1F3F3"/>
          </w:tcPr>
          <w:p>
            <w:pPr>
              <w:keepLines/>
              <w:spacing w:after="0"/>
            </w:pPr>
            <w:r/>
            <w:r>
              <w:rPr>
                <w:rFonts w:ascii="Times New Roman" w:hAnsi="Times New Roman"/>
                <w:sz w:val="17"/>
              </w:rPr>
              <w:t>dokumentbezogene Begründung</w:t>
            </w:r>
          </w:p>
        </w:tc>
      </w:tr>
      <w:tr>
        <w:trPr>
          <w:cantSplit/>
        </w:trPr>
        <w:tc>
          <w:tcPr>
            <w:tcW w:type="dxa" w:w="2141"/>
            <w:vAlign w:val="top"/>
            <w:tcMar>
              <w:top w:w="60" w:type="dxa"/>
              <w:start w:w="90" w:type="dxa"/>
              <w:bottom w:w="60" w:type="dxa"/>
              <w:end w:w="90" w:type="dxa"/>
            </w:tcMar>
          </w:tcPr>
          <w:p>
            <w:pPr>
              <w:keepLines/>
              <w:spacing w:after="0"/>
            </w:pPr>
            <w:r/>
            <w:r>
              <w:rPr>
                <w:rFonts w:ascii="Times New Roman" w:hAnsi="Times New Roman"/>
                <w:sz w:val="17"/>
              </w:rPr>
              <w:t>Beschwerdefortführung</w:t>
            </w:r>
          </w:p>
        </w:tc>
        <w:tc>
          <w:tcPr>
            <w:tcW w:type="dxa" w:w="2520"/>
            <w:vAlign w:val="top"/>
            <w:tcMar>
              <w:top w:w="60" w:type="dxa"/>
              <w:start w:w="90" w:type="dxa"/>
              <w:bottom w:w="60" w:type="dxa"/>
              <w:end w:w="90" w:type="dxa"/>
            </w:tcMar>
          </w:tcPr>
          <w:p>
            <w:pPr>
              <w:keepLines/>
              <w:spacing w:after="0"/>
            </w:pPr>
            <w:r/>
            <w:r>
              <w:rPr>
                <w:rFonts w:ascii="Times New Roman" w:hAnsi="Times New Roman"/>
                <w:sz w:val="17"/>
              </w:rPr>
              <w:t>Oberbürgermeister und Werkleitung</w:t>
            </w:r>
          </w:p>
        </w:tc>
        <w:tc>
          <w:tcPr>
            <w:tcW w:type="dxa" w:w="1730"/>
            <w:vAlign w:val="top"/>
            <w:tcMar>
              <w:top w:w="60" w:type="dxa"/>
              <w:start w:w="90" w:type="dxa"/>
              <w:bottom w:w="60" w:type="dxa"/>
              <w:end w:w="90" w:type="dxa"/>
            </w:tcMar>
          </w:tcPr>
          <w:p>
            <w:pPr>
              <w:keepLines/>
              <w:spacing w:after="0"/>
            </w:pPr>
            <w:r/>
            <w:r>
              <w:rPr>
                <w:rFonts w:ascii="Times New Roman" w:hAnsi="Times New Roman"/>
                <w:sz w:val="17"/>
              </w:rPr>
              <w:t>17.07.2026</w:t>
            </w:r>
          </w:p>
        </w:tc>
        <w:tc>
          <w:tcPr>
            <w:tcW w:type="dxa" w:w="2680"/>
            <w:vAlign w:val="top"/>
            <w:tcMar>
              <w:top w:w="60" w:type="dxa"/>
              <w:start w:w="90" w:type="dxa"/>
              <w:bottom w:w="60" w:type="dxa"/>
              <w:end w:w="90" w:type="dxa"/>
            </w:tcMar>
          </w:tcPr>
          <w:p>
            <w:pPr>
              <w:keepLines/>
              <w:spacing w:after="0"/>
            </w:pPr>
            <w:r/>
            <w:r>
              <w:rPr>
                <w:rFonts w:ascii="Times New Roman" w:hAnsi="Times New Roman"/>
                <w:sz w:val="17"/>
              </w:rPr>
              <w:t>aktualisierte Erfolgs- und Kostenprognose</w:t>
            </w:r>
          </w:p>
        </w:tc>
      </w:tr>
      <w:tr>
        <w:trPr>
          <w:cantSplit/>
        </w:trPr>
        <w:tc>
          <w:tcPr>
            <w:tcW w:type="dxa" w:w="2141"/>
            <w:vAlign w:val="top"/>
            <w:tcMar>
              <w:top w:w="60" w:type="dxa"/>
              <w:start w:w="90" w:type="dxa"/>
              <w:bottom w:w="60" w:type="dxa"/>
              <w:end w:w="90" w:type="dxa"/>
            </w:tcMar>
            <w:shd w:fill="F1F3F3"/>
          </w:tcPr>
          <w:p>
            <w:pPr>
              <w:keepLines/>
              <w:spacing w:after="0"/>
            </w:pPr>
            <w:r/>
            <w:r>
              <w:rPr>
                <w:rFonts w:ascii="Times New Roman" w:hAnsi="Times New Roman"/>
                <w:sz w:val="17"/>
              </w:rPr>
              <w:t>Interimsbedarf</w:t>
            </w:r>
          </w:p>
        </w:tc>
        <w:tc>
          <w:tcPr>
            <w:tcW w:type="dxa" w:w="2520"/>
            <w:vAlign w:val="top"/>
            <w:tcMar>
              <w:top w:w="60" w:type="dxa"/>
              <w:start w:w="90" w:type="dxa"/>
              <w:bottom w:w="60" w:type="dxa"/>
              <w:end w:w="90" w:type="dxa"/>
            </w:tcMar>
            <w:shd w:fill="F1F3F3"/>
          </w:tcPr>
          <w:p>
            <w:pPr>
              <w:keepLines/>
              <w:spacing w:after="0"/>
            </w:pPr>
            <w:r/>
            <w:r>
              <w:rPr>
                <w:rFonts w:ascii="Times New Roman" w:hAnsi="Times New Roman"/>
                <w:sz w:val="17"/>
              </w:rPr>
              <w:t>Fachbereich IT</w:t>
            </w:r>
          </w:p>
        </w:tc>
        <w:tc>
          <w:tcPr>
            <w:tcW w:type="dxa" w:w="1730"/>
            <w:vAlign w:val="top"/>
            <w:tcMar>
              <w:top w:w="60" w:type="dxa"/>
              <w:start w:w="90" w:type="dxa"/>
              <w:bottom w:w="60" w:type="dxa"/>
              <w:end w:w="90" w:type="dxa"/>
            </w:tcMar>
            <w:shd w:fill="F1F3F3"/>
          </w:tcPr>
          <w:p>
            <w:pPr>
              <w:keepLines/>
              <w:spacing w:after="0"/>
            </w:pPr>
            <w:r/>
            <w:r>
              <w:rPr>
                <w:rFonts w:ascii="Times New Roman" w:hAnsi="Times New Roman"/>
                <w:sz w:val="17"/>
              </w:rPr>
              <w:t>16.07.2026</w:t>
            </w:r>
          </w:p>
        </w:tc>
        <w:tc>
          <w:tcPr>
            <w:tcW w:type="dxa" w:w="2680"/>
            <w:vAlign w:val="top"/>
            <w:tcMar>
              <w:top w:w="60" w:type="dxa"/>
              <w:start w:w="90" w:type="dxa"/>
              <w:bottom w:w="60" w:type="dxa"/>
              <w:end w:w="90" w:type="dxa"/>
            </w:tcMar>
            <w:shd w:fill="F1F3F3"/>
          </w:tcPr>
          <w:p>
            <w:pPr>
              <w:keepLines/>
              <w:spacing w:after="0"/>
            </w:pPr>
            <w:r/>
            <w:r>
              <w:rPr>
                <w:rFonts w:ascii="Times New Roman" w:hAnsi="Times New Roman"/>
                <w:sz w:val="17"/>
              </w:rPr>
              <w:t>Laufzeit, Umfang, Marktverfügbarkeit</w:t>
            </w:r>
          </w:p>
        </w:tc>
      </w:tr>
    </w:tbl>
    <w:p>
      <w:pPr>
        <w:spacing w:after="0" w:before="40"/>
      </w:pPr>
    </w:p>
    <w:p>
      <w:pPr>
        <w:pStyle w:val="Heading1"/>
        <w:keepNext/>
        <w:keepLines/>
      </w:pPr>
      <w:r>
        <w:t>Empfehlung</w:t>
      </w:r>
    </w:p>
    <w:p>
      <w:pPr>
        <w:keepLines/>
      </w:pPr>
      <w:r>
        <w:t>Das Rechtsamt empfiehlt, den Vergleich aktiv anzubieten. Die Versionsdaten schwächen die These einer bloß redaktionellen Berichtigung erheblich. Wird keine Einigung erreicht, ist die Beschwerdebegründung auf die objektive Auslegung der Referenzanforderung zu konzentrieren; die Verteidigung der nachgereichten Leistungszusagen sollte nicht als Hauptlinie geführt werden.</w:t>
      </w:r>
    </w:p>
    <w:sectPr w:rsidR="00FC693F" w:rsidRPr="0006063C" w:rsidSect="00034616">
      <w:headerReference w:type="default" r:id="rId9"/>
      <w:footerReference w:type="default" r:id="rId10"/>
      <w:pgSz w:w="11906" w:h="16838"/>
      <w:pgMar w:top="1020" w:right="1417" w:bottom="935" w:left="1417"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Times New Roman" w:hAnsi="Times New Roman"/>
        <w:color w:val="646464"/>
        <w:sz w:val="16"/>
      </w:rPr>
      <w:t>Aktenstück</w:t>
      <w:t xml:space="preserve">  |  17 Verg 2/26</w:t>
      <w:t xml:space="preserve">  |  Seite </w:t>
    </w:r>
    <w:r>
      <w:rPr>
        <w:rFonts w:ascii="Times New Roman" w:hAnsi="Times New Roman"/>
        <w:color w:val="646464"/>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color w:val="646464"/>
        <w:sz w:val="16"/>
      </w:rPr>
      <w:t>Landeshauptstadt Schwerin - Rechtsamt</w:t>
      <w:t xml:space="preserve">  |  17 Verg 2/26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Times New Roman" w:hAnsi="Times New Roman" w:eastAsia="Times New Roman"/>
      <w:b w:val="0"/>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color w:val="01696F"/>
      <w:sz w:val="25"/>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1F1F1F"/>
      <w:sz w:val="22"/>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eastAsia="Times New Roman"/>
      <w:b/>
      <w:bCs/>
      <w:color w:val="64646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0"/>
      <w:contextualSpacing/>
    </w:pPr>
    <w:rPr>
      <w:rFonts w:asciiTheme="majorHAnsi" w:eastAsiaTheme="majorEastAsia" w:hAnsiTheme="majorHAnsi" w:cstheme="majorBidi" w:ascii="Times New Roman" w:hAnsi="Times New Roman" w:eastAsia="Times New Roman"/>
      <w:b/>
      <w:color w:val="01696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Times New Roman" w:hAnsi="Times New Roman" w:eastAsia="Times New Roman"/>
      <w:b w:val="0"/>
      <w:color w:val="1F1F1F"/>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Times New Roman" w:hAnsi="Times New Roman" w:eastAsia="Times New Roman"/>
      <w:b w:val="0"/>
      <w:color w:val="1F1F1F"/>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itle>Risikomatrix und Vergleichskorridor nach Eingang der gerichtlichen Verfügung</dc:title>
  <dc:subject>Vertraulicher Prozessvermerk | Az. 17 Verg 2/26</dc:subject>
  <dc:creator>Landeshauptstadt Schwerin - Rechtsamt</dc:creator>
  <cp:keywords>Vergaberecht, 17 Verg 2/26, Vertraulicher Prozessvermerk</cp:keywords>
  <dc:description>generated by python-docx</dc:description>
  <cp:lastModifiedBy>Landeshauptstadt Schwerin - Rechtsamt</cp:lastModifiedBy>
  <cp:revision>1</cp:revision>
  <dcterms:created xsi:type="dcterms:W3CDTF">2000-01-01T00:00:00Z</dcterms:created>
  <dcterms:modified xsi:type="dcterms:W3CDTF">2000-01-01T00:00:00Z</dcterms:modified>
  <cp:category>Vergabeakte</cp:category>
</cp:coreProperties>
</file>