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071"/>
        <w:jc w:val="left"/>
        <w:tblLayout w:type="fixed"/>
        <w:tblLook w:firstColumn="1" w:firstRow="1" w:lastColumn="0" w:lastRow="0" w:noHBand="0" w:noVBand="1" w:val="04A0"/>
      </w:tblPr>
      <w:tblGrid>
        <w:gridCol w:w="5499"/>
        <w:gridCol w:w="3572"/>
      </w:tblGrid>
      <w:tr>
        <w:tc>
          <w:tcPr>
            <w:tcW w:type="dxa" w:w="5499"/>
            <w:vAlign w:val="top"/>
            <w:tcMar>
              <w:top w:w="0" w:type="dxa"/>
              <w:start w:w="0" w:type="dxa"/>
              <w:bottom w:w="100" w:type="dxa"/>
              <w:end w:w="0" w:type="dxa"/>
            </w:tcMar>
          </w:tcPr>
          <w:p>
            <w:pPr>
              <w:spacing w:after="20"/>
              <w:pBdr>
                <w:bottom w:val="single" w:sz="6" w:space="5" w:color="01696F"/>
              </w:pBdr>
            </w:pPr>
            <w:r>
              <w:rPr>
                <w:rFonts w:ascii="Times New Roman" w:hAnsi="Times New Roman"/>
                <w:b/>
                <w:color w:val="01696F"/>
                <w:sz w:val="24"/>
              </w:rPr>
              <w:t>CyberShield Defense GmbH</w:t>
            </w:r>
          </w:p>
          <w:p>
            <w:pPr>
              <w:spacing w:after="0"/>
            </w:pPr>
            <w:r>
              <w:rPr>
                <w:color w:val="646464"/>
                <w:sz w:val="18"/>
              </w:rPr>
              <w:t>Alexanderstraße 7, 10178 Berlin</w:t>
            </w:r>
          </w:p>
        </w:tc>
        <w:tc>
          <w:tcPr>
            <w:tcW w:type="dxa" w:w="3572"/>
            <w:vAlign w:val="top"/>
            <w:tcMar>
              <w:top w:w="0" w:type="dxa"/>
              <w:start w:w="0" w:type="dxa"/>
              <w:bottom w:w="100" w:type="dxa"/>
              <w:end w:w="0" w:type="dxa"/>
            </w:tcMar>
          </w:tcPr>
          <w:p>
            <w:pPr>
              <w:spacing w:after="0"/>
              <w:jc w:val="right"/>
              <w:pBdr>
                <w:bottom w:val="single" w:sz="6" w:space="5" w:color="01696F"/>
              </w:pBdr>
            </w:pPr>
            <w:r>
              <w:rPr>
                <w:rFonts w:ascii="Times New Roman" w:hAnsi="Times New Roman"/>
                <w:color w:val="646464"/>
                <w:sz w:val="18"/>
              </w:rPr>
              <w:t>Datum: 17.07.2026</w:t>
              <w:br/>
            </w:r>
            <w:r>
              <w:rPr>
                <w:rFonts w:ascii="Times New Roman" w:hAnsi="Times New Roman"/>
                <w:color w:val="646464"/>
                <w:sz w:val="18"/>
              </w:rPr>
              <w:t>Aktenzeichen: 17 Verg 2/26</w:t>
              <w:br/>
            </w:r>
            <w:r>
              <w:rPr>
                <w:rFonts w:ascii="Times New Roman" w:hAnsi="Times New Roman"/>
                <w:color w:val="646464"/>
                <w:sz w:val="18"/>
              </w:rPr>
              <w:t>Beschwerdeerwiderung</w:t>
            </w:r>
          </w:p>
        </w:tc>
      </w:tr>
    </w:tbl>
    <w:p>
      <w:pPr>
        <w:spacing w:before="200" w:after="40"/>
      </w:pPr>
      <w:r>
        <w:rPr>
          <w:rFonts w:ascii="Times New Roman" w:hAnsi="Times New Roman"/>
          <w:color w:val="646464"/>
          <w:sz w:val="15"/>
        </w:rPr>
        <w:t>CyberShield Defense GmbH · Alexanderstraße 7, 10178 Berlin</w:t>
      </w:r>
    </w:p>
    <w:p>
      <w:pPr>
        <w:spacing w:after="240"/>
      </w:pPr>
      <w:r>
        <w:t>Oberlandesgericht Rostock - Vergabesenat</w:t>
      </w:r>
    </w:p>
    <w:p>
      <w:pPr>
        <w:pStyle w:val="Title"/>
      </w:pPr>
      <w:r>
        <w:t>Erwiderung auf die sofortige Beschwerde der Landeshauptstadt Schwerin</w:t>
      </w:r>
    </w:p>
    <w:p>
      <w:pPr>
        <w:pStyle w:val="Heading1"/>
      </w:pPr>
      <w:r>
        <w:t>Antrag</w:t>
      </w:r>
    </w:p>
    <w:p>
      <w:r>
        <w:t>Die Beschwerdegegnerin beantragt,</w:t>
      </w:r>
    </w:p>
    <w:p>
      <w:pPr>
        <w:pStyle w:val="ListNumber"/>
      </w:pPr>
      <w:r>
        <w:t>die sofortige Beschwerde zurückzuweisen;</w:t>
      </w:r>
    </w:p>
    <w:p>
      <w:pPr>
        <w:pStyle w:val="ListNumber"/>
      </w:pPr>
      <w:r>
        <w:t>hilfsweise die Zuschlagsuntersagung mit der Maßgabe aufrechtzuerhalten, dass die Vergabestelle die Angebote anhand der bei Ablauf der Angebotsfrist vorhandenen Erklärungen neu prüft;</w:t>
      </w:r>
    </w:p>
    <w:p>
      <w:pPr>
        <w:pStyle w:val="ListNumber"/>
      </w:pPr>
      <w:r>
        <w:t>der Beschwerdeführerin die Kosten des Beschwerdeverfahrens aufzuerlegen.</w:t>
      </w:r>
    </w:p>
    <w:p>
      <w:pPr>
        <w:pStyle w:val="Heading1"/>
      </w:pPr>
      <w:r>
        <w:t>Übergangsrecht</w:t>
      </w:r>
    </w:p>
    <w:p>
      <w:r>
        <w:t>Das Verfahren begann im Februar 2026. Nach § 187 Abs. 2 GWB gilt das bei Einleitung maßgebliche Recht einschließlich des Beschwerdeverfahrens fort. Die Beschwerdeführerin greift eine stattgebende Zuschlagsuntersagung an. Ein Verlängerungsantrag der Beschwerdegegnerin nach dem früheren § 173 Abs. 1 Satz 3 GWB ist weder gestellt noch erforderlich; der dort geregelte Tatbestand darf nicht mit der vorliegenden Rollenlage vertauscht werden.</w:t>
      </w:r>
    </w:p>
    <w:p>
      <w:pPr>
        <w:pStyle w:val="Heading1"/>
      </w:pPr>
      <w:r>
        <w:t>1. Objektive Auslegung der Referenzanforderung</w:t>
      </w:r>
    </w:p>
    <w:p>
      <w:r>
        <w:t>Gefordert war eine Referenz über einen dauerhaft betriebenen Security Operations Center-Dienst mit 24/7-Reaktionsbereitschaft. Die VVS-Unterlage beschreibt dagegen ein Beratungs- und Einführungsprojekt. Einzelne Sicherheitsleistungen und die Größe des Referenzgebers ersetzen nicht den geforderten Leistungsinhalt. Die Vergabestelle darf die Mindestanforderung nicht nach Kenntnis der Angebote auf einen allgemeinen „sicherheitskritischen Zusammenhang“ reduzieren.</w:t>
      </w:r>
    </w:p>
    <w:p>
      <w:pPr>
        <w:pStyle w:val="Heading1"/>
      </w:pPr>
      <w:r>
        <w:t>2. Nachgereichtes Konzept</w:t>
      </w:r>
    </w:p>
    <w:p>
      <w:pPr>
        <w:keepNext/>
        <w:keepLines/>
      </w:pPr>
      <w:r>
        <w:t>Das Portalprotokoll weist drei materielle Änderungen aus: Verkürzung der Erstreaktion von 45 auf 15 Minuten, neue verbindliche Rufkette und erstmals zugesagte Vor-Ort-Unterstützung. Diese Angaben verbessern die geschuldete Leistung und beeinflussen die Wertung. § 15 Abs. 5 VgV erlaubt Aufklärung über den Inhalt eines vorhandenen Angebots, nicht dessen inhaltliche Ergänzung nach Fristablauf.</w:t>
      </w:r>
    </w:p>
    <w:p>
      <w:pPr>
        <w:pStyle w:val="Heading1"/>
        <w:keepNext/>
        <w:keepLines/>
      </w:pPr>
      <w:r>
        <w:t>3. Dokumentation und Kausalität</w:t>
      </w:r>
    </w:p>
    <w:tbl>
      <w:tblPr>
        <w:tblStyle w:val="TableGrid"/>
        <w:tblW w:type="dxa" w:w="9070"/>
        <w:jc w:val="left"/>
        <w:tblLayout w:type="fixed"/>
        <w:tblLook w:firstColumn="1" w:firstRow="1" w:lastColumn="0" w:lastRow="0" w:noHBand="0" w:noVBand="1" w:val="04A0"/>
      </w:tblPr>
      <w:tblGrid>
        <w:gridCol w:w="2303"/>
        <w:gridCol w:w="3341"/>
        <w:gridCol w:w="3426"/>
      </w:tblGrid>
      <w:tr>
        <w:trPr>
          <w:tblHeader w:val="true"/>
          <w:cantSplit/>
        </w:trPr>
        <w:tc>
          <w:tcPr>
            <w:tcW w:type="dxa" w:w="2303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01696F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Punkt</w:t>
            </w:r>
          </w:p>
        </w:tc>
        <w:tc>
          <w:tcPr>
            <w:tcW w:type="dxa" w:w="3341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01696F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Aktenbefund</w:t>
            </w:r>
          </w:p>
        </w:tc>
        <w:tc>
          <w:tcPr>
            <w:tcW w:type="dxa" w:w="3426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01696F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Auswirkung</w:t>
            </w:r>
          </w:p>
        </w:tc>
      </w:tr>
      <w:tr>
        <w:trPr>
          <w:cantSplit/>
        </w:trPr>
        <w:tc>
          <w:tcPr>
            <w:tcW w:type="dxa" w:w="2303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Konzeptvergleich</w:t>
            </w:r>
          </w:p>
        </w:tc>
        <w:tc>
          <w:tcPr>
            <w:tcW w:type="dxa" w:w="3341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Diff bestätigt neue Zusagen</w:t>
            </w:r>
          </w:p>
        </w:tc>
        <w:tc>
          <w:tcPr>
            <w:tcW w:type="dxa" w:w="3426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keine bloße Schreibfehlerkorrektur</w:t>
            </w:r>
          </w:p>
        </w:tc>
      </w:tr>
      <w:tr>
        <w:trPr>
          <w:cantSplit/>
        </w:trPr>
        <w:tc>
          <w:tcPr>
            <w:tcW w:type="dxa" w:w="2303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Referenzprüfung</w:t>
            </w:r>
          </w:p>
        </w:tc>
        <w:tc>
          <w:tcPr>
            <w:tcW w:type="dxa" w:w="3341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Vergleich der Leistungsinhalte fehlt</w:t>
            </w:r>
          </w:p>
        </w:tc>
        <w:tc>
          <w:tcPr>
            <w:tcW w:type="dxa" w:w="3426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Eignungsentscheidung nicht nachvollziehbar</w:t>
            </w:r>
          </w:p>
        </w:tc>
      </w:tr>
      <w:tr>
        <w:trPr>
          <w:cantSplit/>
        </w:trPr>
        <w:tc>
          <w:tcPr>
            <w:tcW w:type="dxa" w:w="2303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Wertung</w:t>
            </w:r>
          </w:p>
        </w:tc>
        <w:tc>
          <w:tcPr>
            <w:tcW w:type="dxa" w:w="3341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Konzept v2 floss in Punkte ein</w:t>
            </w:r>
          </w:p>
        </w:tc>
        <w:tc>
          <w:tcPr>
            <w:tcW w:type="dxa" w:w="3426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Rangfolge beruht auf nachgereichten Angaben</w:t>
            </w:r>
          </w:p>
        </w:tc>
      </w:tr>
      <w:tr>
        <w:trPr>
          <w:cantSplit/>
        </w:trPr>
        <w:tc>
          <w:tcPr>
            <w:tcW w:type="dxa" w:w="2303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Angebot CyberShield</w:t>
            </w:r>
          </w:p>
        </w:tc>
        <w:tc>
          <w:tcPr>
            <w:tcW w:type="dxa" w:w="3341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Mindestanforderungen in Erstfassung erfüllt</w:t>
            </w:r>
          </w:p>
        </w:tc>
        <w:tc>
          <w:tcPr>
            <w:tcW w:type="dxa" w:w="3426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echte Zuschlagschance nach Korrektur</w:t>
            </w:r>
          </w:p>
        </w:tc>
      </w:tr>
    </w:tbl>
    <w:p>
      <w:pPr>
        <w:spacing w:after="0" w:before="40"/>
      </w:pPr>
    </w:p>
    <w:p>
      <w:pPr>
        <w:keepNext/>
        <w:keepLines/>
      </w:pPr>
      <w:r>
        <w:t>Die Beschwerdegegnerin verlangt keinen unmittelbaren Zuschlag. Eine Rückversetzung und erneute Prüfung anhand des fristgerecht eingereichten Bestands genügen, um Gleichbehandlung und Transparenz wiederherzustellen.</w:t>
      </w:r>
    </w:p>
    <w:p>
      <w:pPr>
        <w:pStyle w:val="Heading1"/>
        <w:keepNext/>
        <w:keepLines/>
      </w:pPr>
      <w:r>
        <w:t>4. Vergleich</w:t>
      </w:r>
    </w:p>
    <w:p>
      <w:pPr>
        <w:keepNext/>
        <w:keepLines/>
      </w:pPr>
      <w:r>
        <w:t>Die Beschwerdegegnerin stimmt einer Rückversetzung in die Eignungs- und Wertungsprüfung zu, wenn ausschließlich die bis 22.04.2026, 10:00 Uhr eingegangenen Angebotsbestandteile gewertet, die Referenzanforderung unverändert ausgelegt und die Kosten gegeneinander aufgehoben werden. Eine spätere Aufklärung darf nur Widersprüche erläutern und keine neue Leistungszusage verwertbar machen.</w:t>
      </w:r>
    </w:p>
    <w:p>
      <w:pPr>
        <w:keepNext/>
        <w:keepLines/>
      </w:pPr>
      <w:r>
        <w:t>Rechtsanwältin Dr. Maren Mertke</w:t>
      </w:r>
    </w:p>
    <w:p>
      <w:pPr>
        <w:keepLines/>
      </w:pPr>
      <w:r>
        <w:t>für die CyberShield Defense GmbH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417" w:bottom="935" w:left="1417" w:header="425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Times New Roman" w:hAnsi="Times New Roman"/>
        <w:color w:val="646464"/>
        <w:sz w:val="16"/>
      </w:rPr>
      <w:t>Aktenstück</w:t>
      <w:t xml:space="preserve">  |  17 Verg 2/26</w:t>
      <w:t xml:space="preserve">  |  Seite </w:t>
    </w:r>
    <w:r>
      <w:rPr>
        <w:rFonts w:ascii="Times New Roman" w:hAnsi="Times New Roman"/>
        <w:color w:val="646464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Times New Roman" w:hAnsi="Times New Roman"/>
        <w:color w:val="646464"/>
        <w:sz w:val="16"/>
      </w:rPr>
      <w:t>CyberShield Defense GmbH</w:t>
      <w:t xml:space="preserve">  |  17 Verg 2/26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0" w:lineRule="auto"/>
    </w:pPr>
    <w:rPr>
      <w:rFonts w:ascii="Times New Roman" w:hAnsi="Times New Roman" w:eastAsia="Times New Roman"/>
      <w:b w:val="0"/>
      <w:color w:val="1F1F1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1696F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1F1F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646464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01696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Times New Roman" w:hAnsi="Times New Roman" w:eastAsia="Times New Roman"/>
      <w:b w:val="0"/>
      <w:color w:val="1F1F1F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Times New Roman" w:hAnsi="Times New Roman" w:eastAsia="Times New Roman"/>
      <w:b w:val="0"/>
      <w:color w:val="1F1F1F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Erwiderung auf die sofortige Beschwerde der Landeshauptstadt Schwerin</dc:title>
  <dc:subject>Beschwerdeerwiderung | Az. 17 Verg 2/26</dc:subject>
  <dc:creator>CyberShield Defense GmbH</dc:creator>
  <cp:keywords>Vergaberecht, 17 Verg 2/26, Beschwerdeerwiderung</cp:keywords>
  <dc:description>generated by python-docx</dc:description>
  <cp:lastModifiedBy>CyberShield Defense GmbH</cp:lastModifiedBy>
  <cp:revision>1</cp:revision>
  <dcterms:created xsi:type="dcterms:W3CDTF">2000-01-01T00:00:00Z</dcterms:created>
  <dcterms:modified xsi:type="dcterms:W3CDTF">2000-01-01T00:00:00Z</dcterms:modified>
  <cp:category>Vergabeakte</cp:category>
</cp:coreProperties>
</file>