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Oberlandesgericht Rostock - Vergabesenat</w:t>
            </w:r>
          </w:p>
          <w:p>
            <w:pPr>
              <w:spacing w:after="0"/>
            </w:pPr>
            <w:r>
              <w:rPr>
                <w:color w:val="646464"/>
                <w:sz w:val="18"/>
              </w:rPr>
              <w:t>Wallstraße 3, 18055 Rostock</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31.07.2026</w:t>
              <w:br/>
            </w:r>
            <w:r>
              <w:rPr>
                <w:rFonts w:ascii="Times New Roman" w:hAnsi="Times New Roman"/>
                <w:color w:val="646464"/>
                <w:sz w:val="18"/>
              </w:rPr>
              <w:t>Aktenzeichen: 17 Verg 2/26</w:t>
              <w:br/>
            </w:r>
            <w:r>
              <w:rPr>
                <w:rFonts w:ascii="Times New Roman" w:hAnsi="Times New Roman"/>
                <w:color w:val="646464"/>
                <w:sz w:val="18"/>
              </w:rPr>
              <w:t>Beschluss des Vergabesenats</w:t>
            </w:r>
          </w:p>
        </w:tc>
      </w:tr>
    </w:tbl>
    <w:p>
      <w:pPr>
        <w:spacing w:before="200" w:after="40"/>
      </w:pPr>
      <w:r>
        <w:rPr>
          <w:rFonts w:ascii="Times New Roman" w:hAnsi="Times New Roman"/>
          <w:color w:val="646464"/>
          <w:sz w:val="15"/>
        </w:rPr>
        <w:t>Oberlandesgericht Rostock - Vergabesenat · Wallstraße 3, 18055 Rostock</w:t>
      </w:r>
    </w:p>
    <w:p>
      <w:pPr>
        <w:spacing w:after="240"/>
      </w:pPr>
      <w:r>
        <w:t>Beteiligte im Verfahren 17 Verg 2/26</w:t>
      </w:r>
    </w:p>
    <w:p>
      <w:pPr>
        <w:pStyle w:val="Title"/>
      </w:pPr>
      <w:r>
        <w:t>Beschwerde gegen den Beschluss 3 VK 4/26</w:t>
      </w:r>
    </w:p>
    <w:p>
      <w:pPr>
        <w:pStyle w:val="Heading1"/>
      </w:pPr>
      <w:r>
        <w:t>Tenor</w:t>
      </w:r>
    </w:p>
    <w:p>
      <w:pPr>
        <w:pStyle w:val="ListNumber"/>
      </w:pPr>
      <w:r>
        <w:t>Die sofortige Beschwerde der Landeshauptstadt Schwerin gegen den Beschluss der Vergabekammern des Landes Mecklenburg-Vorpommern vom 25.06.2026 wird zurückgewiesen.</w:t>
      </w:r>
    </w:p>
    <w:p>
      <w:pPr>
        <w:pStyle w:val="ListNumber"/>
      </w:pPr>
      <w:r>
        <w:t>Die Beschwerdeführerin trägt die Kosten des Beschwerdeverfahrens einschließlich der notwendigen außergerichtlichen Aufwendungen der Beschwerdegegnerin.</w:t>
      </w:r>
    </w:p>
    <w:p>
      <w:pPr>
        <w:pStyle w:val="ListNumber"/>
      </w:pPr>
      <w:r>
        <w:t>Die Beigeladene trägt ihre außergerichtlichen Aufwendungen selbst.</w:t>
      </w:r>
    </w:p>
    <w:p>
      <w:pPr>
        <w:pStyle w:val="Heading1"/>
      </w:pPr>
      <w:r>
        <w:t>Gründe</w:t>
      </w:r>
    </w:p>
    <w:p>
      <w:pPr>
        <w:pStyle w:val="Heading2"/>
      </w:pPr>
      <w:r>
        <w:t>1. Anwendbares Recht und Zuschlagsverbot</w:t>
      </w:r>
    </w:p>
    <w:p>
      <w:r>
        <w:t>Das Vergabeverfahren begann mit der Bekanntmachung vom 27.02.2026. Nach § 187 Abs. 2 GWB wird es einschließlich der Nachprüfungs- und Beschwerdeverfahren nach dem bei Verfahrensbeginn geltenden Recht beendet. Die Vergabekammer hatte dem Antrag durch Untersagung des Zuschlags stattgegeben; der Zuschlag durfte bis zur Entscheidung des Senats nicht erteilt werden.</w:t>
      </w:r>
    </w:p>
    <w:p>
      <w:pPr>
        <w:pStyle w:val="Heading2"/>
      </w:pPr>
      <w:r>
        <w:t>2. Objektive Auslegung der Referenzanforderung</w:t>
      </w:r>
    </w:p>
    <w:p>
      <w:r>
        <w:t>Die Unterlagen verlangten dauerhaft betriebene SOC-Leistungen mit 24/7-Reaktionsbereitschaft. Die Formulierung Erfahrungen im ÖPNV-Sektor bevorzugt machte eine unmittelbare ÖPNV-Referenz nicht zur zwingenden Mindestanforderung. Ein fachkundiger Bieter musste nicht damit rechnen, dass technisch vergleichbare KRITIS-Referenzen aus Energie und Wasser ohne Inhaltsprüfung ausgeschieden werden.</w:t>
      </w:r>
    </w:p>
    <w:tbl>
      <w:tblPr>
        <w:tblStyle w:val="TableGrid"/>
        <w:tblW w:type="dxa" w:w="9070"/>
        <w:jc w:val="left"/>
        <w:tblLayout w:type="fixed"/>
        <w:tblLook w:firstColumn="1" w:firstRow="1" w:lastColumn="0" w:lastRow="0" w:noHBand="0" w:noVBand="1" w:val="04A0"/>
      </w:tblPr>
      <w:tblGrid>
        <w:gridCol w:w="2319"/>
        <w:gridCol w:w="3383"/>
        <w:gridCol w:w="3368"/>
      </w:tblGrid>
      <w:tr>
        <w:trPr>
          <w:tblHeader w:val="true"/>
          <w:cantSplit/>
        </w:trPr>
        <w:tc>
          <w:tcPr>
            <w:tcW w:type="dxa" w:w="2319"/>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Prüfschritt</w:t>
            </w:r>
          </w:p>
        </w:tc>
        <w:tc>
          <w:tcPr>
            <w:tcW w:type="dxa" w:w="3383"/>
            <w:vAlign w:val="top"/>
            <w:tcMar>
              <w:top w:w="60" w:type="dxa"/>
              <w:start w:w="90" w:type="dxa"/>
              <w:bottom w:w="60" w:type="dxa"/>
              <w:end w:w="90" w:type="dxa"/>
            </w:tcMar>
            <w:shd w:fill="01696F"/>
          </w:tcPr>
          <w:p>
            <w:pPr>
              <w:keepLines/>
              <w:spacing w:after="0"/>
            </w:pPr>
            <w:r/>
            <w:r>
              <w:rPr>
                <w:rFonts w:ascii="Times New Roman" w:hAnsi="Times New Roman"/>
                <w:b/>
                <w:color w:val="FFFFFF"/>
                <w:sz w:val="17"/>
              </w:rPr>
              <w:t>erforderlicher Maßstab</w:t>
            </w:r>
          </w:p>
        </w:tc>
        <w:tc>
          <w:tcPr>
            <w:tcW w:type="dxa" w:w="3368"/>
            <w:vAlign w:val="top"/>
            <w:tcMar>
              <w:top w:w="60" w:type="dxa"/>
              <w:start w:w="90" w:type="dxa"/>
              <w:bottom w:w="60" w:type="dxa"/>
              <w:end w:w="90" w:type="dxa"/>
            </w:tcMar>
            <w:shd w:fill="01696F"/>
          </w:tcPr>
          <w:p>
            <w:pPr>
              <w:keepLines/>
              <w:spacing w:after="0"/>
            </w:pPr>
            <w:r/>
            <w:r>
              <w:rPr>
                <w:rFonts w:ascii="Times New Roman" w:hAnsi="Times New Roman"/>
                <w:b/>
                <w:color w:val="FFFFFF"/>
                <w:sz w:val="17"/>
              </w:rPr>
              <w:t>bisheriger Fehler</w:t>
            </w:r>
          </w:p>
        </w:tc>
      </w:tr>
      <w:tr>
        <w:trPr>
          <w:cantSplit/>
        </w:trPr>
        <w:tc>
          <w:tcPr>
            <w:tcW w:type="dxa" w:w="2319"/>
            <w:vAlign w:val="top"/>
            <w:tcMar>
              <w:top w:w="60" w:type="dxa"/>
              <w:start w:w="90" w:type="dxa"/>
              <w:bottom w:w="60" w:type="dxa"/>
              <w:end w:w="90" w:type="dxa"/>
            </w:tcMar>
          </w:tcPr>
          <w:p>
            <w:pPr>
              <w:keepLines/>
              <w:spacing w:after="0"/>
            </w:pPr>
            <w:r/>
            <w:r>
              <w:rPr>
                <w:rFonts w:ascii="Times New Roman" w:hAnsi="Times New Roman"/>
                <w:sz w:val="17"/>
              </w:rPr>
              <w:t>Leistungsinhalt</w:t>
            </w:r>
          </w:p>
        </w:tc>
        <w:tc>
          <w:tcPr>
            <w:tcW w:type="dxa" w:w="3383"/>
            <w:vAlign w:val="top"/>
            <w:tcMar>
              <w:top w:w="60" w:type="dxa"/>
              <w:start w:w="90" w:type="dxa"/>
              <w:bottom w:w="60" w:type="dxa"/>
              <w:end w:w="90" w:type="dxa"/>
            </w:tcMar>
          </w:tcPr>
          <w:p>
            <w:pPr>
              <w:keepLines/>
              <w:spacing w:after="0"/>
            </w:pPr>
            <w:r/>
            <w:r>
              <w:rPr>
                <w:rFonts w:ascii="Times New Roman" w:hAnsi="Times New Roman"/>
                <w:sz w:val="17"/>
              </w:rPr>
              <w:t>SOC-Betrieb, Monitoring, Reaktion und Laufzeit</w:t>
            </w:r>
          </w:p>
        </w:tc>
        <w:tc>
          <w:tcPr>
            <w:tcW w:type="dxa" w:w="3368"/>
            <w:vAlign w:val="top"/>
            <w:tcMar>
              <w:top w:w="60" w:type="dxa"/>
              <w:start w:w="90" w:type="dxa"/>
              <w:bottom w:w="60" w:type="dxa"/>
              <w:end w:w="90" w:type="dxa"/>
            </w:tcMar>
          </w:tcPr>
          <w:p>
            <w:pPr>
              <w:keepLines/>
              <w:spacing w:after="0"/>
            </w:pPr>
            <w:r/>
            <w:r>
              <w:rPr>
                <w:rFonts w:ascii="Times New Roman" w:hAnsi="Times New Roman"/>
                <w:sz w:val="17"/>
              </w:rPr>
              <w:t>Sektorbezeichnung vorangestellt</w:t>
            </w:r>
          </w:p>
        </w:tc>
      </w:tr>
      <w:tr>
        <w:trPr>
          <w:cantSplit/>
        </w:trPr>
        <w:tc>
          <w:tcPr>
            <w:tcW w:type="dxa" w:w="2319"/>
            <w:vAlign w:val="top"/>
            <w:tcMar>
              <w:top w:w="60" w:type="dxa"/>
              <w:start w:w="90" w:type="dxa"/>
              <w:bottom w:w="60" w:type="dxa"/>
              <w:end w:w="90" w:type="dxa"/>
            </w:tcMar>
            <w:shd w:fill="F1F3F3"/>
          </w:tcPr>
          <w:p>
            <w:pPr>
              <w:keepLines/>
              <w:spacing w:after="0"/>
            </w:pPr>
            <w:r/>
            <w:r>
              <w:rPr>
                <w:rFonts w:ascii="Times New Roman" w:hAnsi="Times New Roman"/>
                <w:sz w:val="17"/>
              </w:rPr>
              <w:t>Umfang</w:t>
            </w:r>
          </w:p>
        </w:tc>
        <w:tc>
          <w:tcPr>
            <w:tcW w:type="dxa" w:w="3383"/>
            <w:vAlign w:val="top"/>
            <w:tcMar>
              <w:top w:w="60" w:type="dxa"/>
              <w:start w:w="90" w:type="dxa"/>
              <w:bottom w:w="60" w:type="dxa"/>
              <w:end w:w="90" w:type="dxa"/>
            </w:tcMar>
            <w:shd w:fill="F1F3F3"/>
          </w:tcPr>
          <w:p>
            <w:pPr>
              <w:keepLines/>
              <w:spacing w:after="0"/>
            </w:pPr>
            <w:r/>
            <w:r>
              <w:rPr>
                <w:rFonts w:ascii="Times New Roman" w:hAnsi="Times New Roman"/>
                <w:sz w:val="17"/>
              </w:rPr>
              <w:t>Nutzer, Assets, Alarmvolumen und Betriebszeit</w:t>
            </w:r>
          </w:p>
        </w:tc>
        <w:tc>
          <w:tcPr>
            <w:tcW w:type="dxa" w:w="3368"/>
            <w:vAlign w:val="top"/>
            <w:tcMar>
              <w:top w:w="60" w:type="dxa"/>
              <w:start w:w="90" w:type="dxa"/>
              <w:bottom w:w="60" w:type="dxa"/>
              <w:end w:w="90" w:type="dxa"/>
            </w:tcMar>
            <w:shd w:fill="F1F3F3"/>
          </w:tcPr>
          <w:p>
            <w:pPr>
              <w:keepLines/>
              <w:spacing w:after="0"/>
            </w:pPr>
            <w:r/>
            <w:r>
              <w:rPr>
                <w:rFonts w:ascii="Times New Roman" w:hAnsi="Times New Roman"/>
                <w:sz w:val="17"/>
              </w:rPr>
              <w:t>keine belastbare Vergleichsmatrix</w:t>
            </w:r>
          </w:p>
        </w:tc>
      </w:tr>
      <w:tr>
        <w:trPr>
          <w:cantSplit/>
        </w:trPr>
        <w:tc>
          <w:tcPr>
            <w:tcW w:type="dxa" w:w="2319"/>
            <w:vAlign w:val="top"/>
            <w:tcMar>
              <w:top w:w="60" w:type="dxa"/>
              <w:start w:w="90" w:type="dxa"/>
              <w:bottom w:w="60" w:type="dxa"/>
              <w:end w:w="90" w:type="dxa"/>
            </w:tcMar>
          </w:tcPr>
          <w:p>
            <w:pPr>
              <w:keepLines/>
              <w:spacing w:after="0"/>
            </w:pPr>
            <w:r/>
            <w:r>
              <w:rPr>
                <w:rFonts w:ascii="Times New Roman" w:hAnsi="Times New Roman"/>
                <w:sz w:val="17"/>
              </w:rPr>
              <w:t>Komplexität</w:t>
            </w:r>
          </w:p>
        </w:tc>
        <w:tc>
          <w:tcPr>
            <w:tcW w:type="dxa" w:w="3383"/>
            <w:vAlign w:val="top"/>
            <w:tcMar>
              <w:top w:w="60" w:type="dxa"/>
              <w:start w:w="90" w:type="dxa"/>
              <w:bottom w:w="60" w:type="dxa"/>
              <w:end w:w="90" w:type="dxa"/>
            </w:tcMar>
          </w:tcPr>
          <w:p>
            <w:pPr>
              <w:keepLines/>
              <w:spacing w:after="0"/>
            </w:pPr>
            <w:r/>
            <w:r>
              <w:rPr>
                <w:rFonts w:ascii="Times New Roman" w:hAnsi="Times New Roman"/>
                <w:sz w:val="17"/>
              </w:rPr>
              <w:t>KRITIS-Regime, Schnittstellen und Eskalation</w:t>
            </w:r>
          </w:p>
        </w:tc>
        <w:tc>
          <w:tcPr>
            <w:tcW w:type="dxa" w:w="3368"/>
            <w:vAlign w:val="top"/>
            <w:tcMar>
              <w:top w:w="60" w:type="dxa"/>
              <w:start w:w="90" w:type="dxa"/>
              <w:bottom w:w="60" w:type="dxa"/>
              <w:end w:w="90" w:type="dxa"/>
            </w:tcMar>
          </w:tcPr>
          <w:p>
            <w:pPr>
              <w:keepLines/>
              <w:spacing w:after="0"/>
            </w:pPr>
            <w:r/>
            <w:r>
              <w:rPr>
                <w:rFonts w:ascii="Times New Roman" w:hAnsi="Times New Roman"/>
                <w:sz w:val="17"/>
              </w:rPr>
              <w:t>pauschaler Ausschluss nach Auftraggebertyp</w:t>
            </w:r>
          </w:p>
        </w:tc>
      </w:tr>
      <w:tr>
        <w:trPr>
          <w:cantSplit/>
        </w:trPr>
        <w:tc>
          <w:tcPr>
            <w:tcW w:type="dxa" w:w="2319"/>
            <w:vAlign w:val="top"/>
            <w:tcMar>
              <w:top w:w="60" w:type="dxa"/>
              <w:start w:w="90" w:type="dxa"/>
              <w:bottom w:w="60" w:type="dxa"/>
              <w:end w:w="90" w:type="dxa"/>
            </w:tcMar>
            <w:shd w:fill="F1F3F3"/>
          </w:tcPr>
          <w:p>
            <w:pPr>
              <w:keepLines/>
              <w:spacing w:after="0"/>
            </w:pPr>
            <w:r/>
            <w:r>
              <w:rPr>
                <w:rFonts w:ascii="Times New Roman" w:hAnsi="Times New Roman"/>
                <w:sz w:val="17"/>
              </w:rPr>
              <w:t>Dokumentation</w:t>
            </w:r>
          </w:p>
        </w:tc>
        <w:tc>
          <w:tcPr>
            <w:tcW w:type="dxa" w:w="3383"/>
            <w:vAlign w:val="top"/>
            <w:tcMar>
              <w:top w:w="60" w:type="dxa"/>
              <w:start w:w="90" w:type="dxa"/>
              <w:bottom w:w="60" w:type="dxa"/>
              <w:end w:w="90" w:type="dxa"/>
            </w:tcMar>
            <w:shd w:fill="F1F3F3"/>
          </w:tcPr>
          <w:p>
            <w:pPr>
              <w:keepLines/>
              <w:spacing w:after="0"/>
            </w:pPr>
            <w:r/>
            <w:r>
              <w:rPr>
                <w:rFonts w:ascii="Times New Roman" w:hAnsi="Times New Roman"/>
                <w:sz w:val="17"/>
              </w:rPr>
              <w:t>Referenz für Referenz mit Fundstellen</w:t>
            </w:r>
          </w:p>
        </w:tc>
        <w:tc>
          <w:tcPr>
            <w:tcW w:type="dxa" w:w="3368"/>
            <w:vAlign w:val="top"/>
            <w:tcMar>
              <w:top w:w="60" w:type="dxa"/>
              <w:start w:w="90" w:type="dxa"/>
              <w:bottom w:w="60" w:type="dxa"/>
              <w:end w:w="90" w:type="dxa"/>
            </w:tcMar>
            <w:shd w:fill="F1F3F3"/>
          </w:tcPr>
          <w:p>
            <w:pPr>
              <w:keepLines/>
              <w:spacing w:after="0"/>
            </w:pPr>
            <w:r/>
            <w:r>
              <w:rPr>
                <w:rFonts w:ascii="Times New Roman" w:hAnsi="Times New Roman"/>
                <w:sz w:val="17"/>
              </w:rPr>
              <w:t>nur zusammenfassendes Ergebnis</w:t>
            </w:r>
          </w:p>
        </w:tc>
      </w:tr>
    </w:tbl>
    <w:p>
      <w:pPr>
        <w:spacing w:after="0" w:before="40"/>
      </w:pPr>
    </w:p>
    <w:p>
      <w:r>
        <w:t>Der Auftraggeber besitzt bei der fachlichen Bewertung einen Beurteilungsspielraum. Er beginnt jedoch erst nach zutreffender Auslegung des bekannt gemachten Kriteriums.</w:t>
      </w:r>
    </w:p>
    <w:p>
      <w:pPr>
        <w:pStyle w:val="Heading2"/>
      </w:pPr>
      <w:r>
        <w:t>3. Aufklärung des Reaktionszeitenkonzepts</w:t>
      </w:r>
    </w:p>
    <w:p>
      <w:pPr>
        <w:keepNext/>
        <w:keepLines/>
      </w:pPr>
      <w:r>
        <w:t>Das bei Angebotsfrist vorliegende Konzept der Beigeladenen nannte für Severity-2-Vorfälle 45 Minuten. Die spätere Fassung verkürzte diese Zeit auf 15 Minuten, fügte eine verbindliche Rufkette und erstmals Vor-Ort-Unterstützung hinzu. Diese Änderungen beeinflussen Leistungsinhalt und Wertung. Sie sind keine bloße Berichtigung eines erkennbaren Schreibfehlers.</w:t>
      </w:r>
    </w:p>
    <w:p>
      <w:pPr>
        <w:keepNext/>
        <w:keepLines/>
      </w:pPr>
      <w:r>
        <w:t>§ 15 Abs. 5 VgV erlaubt Aufklärung über ein vorhandenes Angebot, aber keine nachträgliche Verbesserung. Die Vergabestelle darf daher nur die ursprüngliche Fassung prüfen und werten.</w:t>
      </w:r>
    </w:p>
    <w:p>
      <w:pPr>
        <w:pStyle w:val="Heading2"/>
        <w:keepNext/>
        <w:keepLines/>
      </w:pPr>
      <w:r>
        <w:t>4. Rechtsfolge</w:t>
      </w:r>
    </w:p>
    <w:p>
      <w:pPr>
        <w:keepNext/>
        <w:keepLines/>
      </w:pPr>
      <w:r>
        <w:t>Die Vergabekammer hat den Fehler mit der Rückversetzung in Eignungs- und Wertungsprüfung verhältnismäßig behoben. Ein unmittelbarer Zuschlag an CyberShield ist weder beantragt noch spruchreif. Die Vergabestelle muss sämtliche Referenzen anhand desselben Inhaltsmaßstabs prüfen und die Angebote ausschließlich auf Grundlage der bei Fristablauf vorliegenden Erklärungen werten.</w:t>
      </w:r>
    </w:p>
    <w:p>
      <w:pPr>
        <w:keepLines/>
      </w:pPr>
      <w:r>
        <w:t>Oberlandesgericht Rostock Vergabesenat</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17 Verg 2/26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Oberlandesgericht Rostock - Vergabesenat</w:t>
      <w:t xml:space="preserve">  |  17 Verg 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Beschwerde gegen den Beschluss 3 VK 4/26</dc:title>
  <dc:subject>Beschluss des Vergabesenats | Az. 17 Verg 2/26</dc:subject>
  <dc:creator>Oberlandesgericht Rostock - Vergabesenat</dc:creator>
  <cp:keywords>Vergaberecht, 17 Verg 2/26, Beschluss des Vergabesenats</cp:keywords>
  <dc:description>generated by python-docx</dc:description>
  <cp:lastModifiedBy>Oberlandesgericht Rostock - Vergabesenat</cp:lastModifiedBy>
  <cp:revision>1</cp:revision>
  <dcterms:created xsi:type="dcterms:W3CDTF">2000-01-01T00:00:00Z</dcterms:created>
  <dcterms:modified xsi:type="dcterms:W3CDTF">2000-01-01T00:00:00Z</dcterms:modified>
  <cp:category>Vergabeakte</cp:category>
</cp:coreProperties>
</file>