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Eigenbetrieb SDS</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07.08.2026</w:t>
              <w:br/>
            </w:r>
            <w:r>
              <w:rPr>
                <w:rFonts w:ascii="Times New Roman" w:hAnsi="Times New Roman"/>
                <w:color w:val="646464"/>
                <w:sz w:val="18"/>
              </w:rPr>
              <w:t>Aktenzeichen: LH-SN-Cyber-SOC-NSV-2026</w:t>
              <w:br/>
            </w:r>
            <w:r>
              <w:rPr>
                <w:rFonts w:ascii="Times New Roman" w:hAnsi="Times New Roman"/>
                <w:color w:val="646464"/>
                <w:sz w:val="18"/>
              </w:rPr>
              <w:t>Neuwertungs- und Zuschlagsvermerk</w:t>
            </w:r>
          </w:p>
        </w:tc>
      </w:tr>
    </w:tbl>
    <w:p>
      <w:pPr>
        <w:spacing w:before="200" w:after="40"/>
      </w:pPr>
      <w:r>
        <w:rPr>
          <w:rFonts w:ascii="Times New Roman" w:hAnsi="Times New Roman"/>
          <w:color w:val="646464"/>
          <w:sz w:val="15"/>
        </w:rPr>
        <w:t>Landeshauptstadt Schwerin - Eigenbetrieb SDS · Am Grünen Tal 18, 19063 Schwerin</w:t>
      </w:r>
    </w:p>
    <w:p>
      <w:pPr>
        <w:spacing w:after="240"/>
      </w:pPr>
      <w:r>
        <w:t>Vergabeakte LH-SN-Cyber-SOC-NSV-2026</w:t>
      </w:r>
    </w:p>
    <w:p>
      <w:pPr>
        <w:pStyle w:val="Title"/>
      </w:pPr>
      <w:r>
        <w:t>Umsetzung 3 VK 4/26 und 17 Verg 2/26</w:t>
      </w:r>
    </w:p>
    <w:p>
      <w:pPr>
        <w:pStyle w:val="Heading1"/>
      </w:pPr>
      <w:r>
        <w:t>1. Umsetzungsrahmen</w:t>
      </w:r>
    </w:p>
    <w:p>
      <w:r>
        <w:t>Die Eignungs- und Angebotswertung wurde durch eine neu zusammengesetzte Wertungsgruppe wiederholt. Verwendet wurden ausschließlich die bis 22.04.2026, 10:00 Uhr, eingegangenen Dateien. Die später übermittelte Fassung des Reaktionszeitenkonzepts der ProtectIT SE blieb vollständig unberücksichtigt.</w:t>
      </w:r>
    </w:p>
    <w:p>
      <w:pPr>
        <w:pStyle w:val="Heading1"/>
        <w:keepNext/>
        <w:keepLines/>
      </w:pPr>
      <w:r>
        <w:t>2. Referenzprüfung CyberShield</w:t>
      </w:r>
    </w:p>
    <w:tbl>
      <w:tblPr>
        <w:tblStyle w:val="TableGrid"/>
        <w:tblW w:type="dxa" w:w="9072"/>
        <w:jc w:val="left"/>
        <w:tblLayout w:type="fixed"/>
        <w:tblLook w:firstColumn="1" w:firstRow="1" w:lastColumn="0" w:lastRow="0" w:noHBand="0" w:noVBand="1" w:val="04A0"/>
      </w:tblPr>
      <w:tblGrid>
        <w:gridCol w:w="1941"/>
        <w:gridCol w:w="1984"/>
        <w:gridCol w:w="1624"/>
        <w:gridCol w:w="1941"/>
        <w:gridCol w:w="1582"/>
      </w:tblGrid>
      <w:tr>
        <w:trPr>
          <w:tblHeader w:val="true"/>
          <w:cantSplit/>
        </w:trPr>
        <w:tc>
          <w:tcPr>
            <w:tcW w:type="dxa" w:w="1941"/>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Referenz</w:t>
            </w:r>
          </w:p>
        </w:tc>
        <w:tc>
          <w:tcPr>
            <w:tcW w:type="dxa" w:w="1984"/>
            <w:vAlign w:val="top"/>
            <w:tcMar>
              <w:top w:w="60" w:type="dxa"/>
              <w:start w:w="90" w:type="dxa"/>
              <w:bottom w:w="60" w:type="dxa"/>
              <w:end w:w="90" w:type="dxa"/>
            </w:tcMar>
            <w:shd w:fill="01696F"/>
          </w:tcPr>
          <w:p>
            <w:pPr>
              <w:keepLines/>
              <w:spacing w:after="0"/>
            </w:pPr>
            <w:r/>
            <w:r>
              <w:rPr>
                <w:rFonts w:ascii="Times New Roman" w:hAnsi="Times New Roman"/>
                <w:b/>
                <w:color w:val="FFFFFF"/>
                <w:sz w:val="17"/>
              </w:rPr>
              <w:t>SOC-Betrieb</w:t>
            </w:r>
          </w:p>
        </w:tc>
        <w:tc>
          <w:tcPr>
            <w:tcW w:type="dxa" w:w="16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24/7-Reaktion</w:t>
            </w:r>
          </w:p>
        </w:tc>
        <w:tc>
          <w:tcPr>
            <w:tcW w:type="dxa" w:w="1941"/>
            <w:vAlign w:val="top"/>
            <w:tcMar>
              <w:top w:w="60" w:type="dxa"/>
              <w:start w:w="90" w:type="dxa"/>
              <w:bottom w:w="60" w:type="dxa"/>
              <w:end w:w="90" w:type="dxa"/>
            </w:tcMar>
            <w:shd w:fill="01696F"/>
          </w:tcPr>
          <w:p>
            <w:pPr>
              <w:keepLines/>
              <w:spacing w:after="0"/>
            </w:pPr>
            <w:r/>
            <w:r>
              <w:rPr>
                <w:rFonts w:ascii="Times New Roman" w:hAnsi="Times New Roman"/>
                <w:b/>
                <w:color w:val="FFFFFF"/>
                <w:sz w:val="17"/>
              </w:rPr>
              <w:t>KRITIS-Komplexität</w:t>
            </w:r>
          </w:p>
        </w:tc>
        <w:tc>
          <w:tcPr>
            <w:tcW w:type="dxa" w:w="15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1941"/>
            <w:vAlign w:val="top"/>
            <w:tcMar>
              <w:top w:w="60" w:type="dxa"/>
              <w:start w:w="90" w:type="dxa"/>
              <w:bottom w:w="60" w:type="dxa"/>
              <w:end w:w="90" w:type="dxa"/>
            </w:tcMar>
          </w:tcPr>
          <w:p>
            <w:pPr>
              <w:keepLines/>
              <w:spacing w:after="0"/>
            </w:pPr>
            <w:r/>
            <w:r>
              <w:rPr>
                <w:rFonts w:ascii="Times New Roman" w:hAnsi="Times New Roman"/>
                <w:sz w:val="17"/>
              </w:rPr>
              <w:t>Stadtwerke Elbauen</w:t>
            </w:r>
          </w:p>
        </w:tc>
        <w:tc>
          <w:tcPr>
            <w:tcW w:type="dxa" w:w="1984"/>
            <w:vAlign w:val="top"/>
            <w:tcMar>
              <w:top w:w="60" w:type="dxa"/>
              <w:start w:w="90" w:type="dxa"/>
              <w:bottom w:w="60" w:type="dxa"/>
              <w:end w:w="90" w:type="dxa"/>
            </w:tcMar>
          </w:tcPr>
          <w:p>
            <w:pPr>
              <w:keepLines/>
              <w:spacing w:after="0"/>
            </w:pPr>
            <w:r/>
            <w:r>
              <w:rPr>
                <w:rFonts w:ascii="Times New Roman" w:hAnsi="Times New Roman"/>
                <w:sz w:val="17"/>
              </w:rPr>
              <w:t>Managed SOC über 48 Monate</w:t>
            </w:r>
          </w:p>
        </w:tc>
        <w:tc>
          <w:tcPr>
            <w:tcW w:type="dxa" w:w="1624"/>
            <w:vAlign w:val="top"/>
            <w:tcMar>
              <w:top w:w="60" w:type="dxa"/>
              <w:start w:w="90" w:type="dxa"/>
              <w:bottom w:w="60" w:type="dxa"/>
              <w:end w:w="90" w:type="dxa"/>
            </w:tcMar>
          </w:tcPr>
          <w:p>
            <w:pPr>
              <w:keepLines/>
              <w:spacing w:after="0"/>
            </w:pPr>
            <w:r/>
            <w:r>
              <w:rPr>
                <w:rFonts w:ascii="Times New Roman" w:hAnsi="Times New Roman"/>
                <w:sz w:val="17"/>
              </w:rPr>
              <w:t>erfüllt</w:t>
            </w:r>
          </w:p>
        </w:tc>
        <w:tc>
          <w:tcPr>
            <w:tcW w:type="dxa" w:w="1941"/>
            <w:vAlign w:val="top"/>
            <w:tcMar>
              <w:top w:w="60" w:type="dxa"/>
              <w:start w:w="90" w:type="dxa"/>
              <w:bottom w:w="60" w:type="dxa"/>
              <w:end w:w="90" w:type="dxa"/>
            </w:tcMar>
          </w:tcPr>
          <w:p>
            <w:pPr>
              <w:keepLines/>
              <w:spacing w:after="0"/>
            </w:pPr>
            <w:r/>
            <w:r>
              <w:rPr>
                <w:rFonts w:ascii="Times New Roman" w:hAnsi="Times New Roman"/>
                <w:sz w:val="17"/>
              </w:rPr>
              <w:t>Energie und Wasser</w:t>
            </w:r>
          </w:p>
        </w:tc>
        <w:tc>
          <w:tcPr>
            <w:tcW w:type="dxa" w:w="1582"/>
            <w:vAlign w:val="top"/>
            <w:tcMar>
              <w:top w:w="60" w:type="dxa"/>
              <w:start w:w="90" w:type="dxa"/>
              <w:bottom w:w="60" w:type="dxa"/>
              <w:end w:w="90" w:type="dxa"/>
            </w:tcMar>
          </w:tcPr>
          <w:p>
            <w:pPr>
              <w:keepLines/>
              <w:spacing w:after="0"/>
            </w:pPr>
            <w:r/>
            <w:r>
              <w:rPr>
                <w:rFonts w:ascii="Times New Roman" w:hAnsi="Times New Roman"/>
                <w:sz w:val="17"/>
              </w:rPr>
              <w:t>vergleichbar</w:t>
            </w:r>
          </w:p>
        </w:tc>
      </w:tr>
      <w:tr>
        <w:trPr>
          <w:cantSplit/>
        </w:trPr>
        <w:tc>
          <w:tcPr>
            <w:tcW w:type="dxa" w:w="1941"/>
            <w:vAlign w:val="top"/>
            <w:tcMar>
              <w:top w:w="60" w:type="dxa"/>
              <w:start w:w="90" w:type="dxa"/>
              <w:bottom w:w="60" w:type="dxa"/>
              <w:end w:w="90" w:type="dxa"/>
            </w:tcMar>
            <w:shd w:fill="F1F3F3"/>
          </w:tcPr>
          <w:p>
            <w:pPr>
              <w:keepLines/>
              <w:spacing w:after="0"/>
            </w:pPr>
            <w:r/>
            <w:r>
              <w:rPr>
                <w:rFonts w:ascii="Times New Roman" w:hAnsi="Times New Roman"/>
                <w:sz w:val="17"/>
              </w:rPr>
              <w:t>Versorgungsverbund Nord</w:t>
            </w:r>
          </w:p>
        </w:tc>
        <w:tc>
          <w:tcPr>
            <w:tcW w:type="dxa" w:w="1984"/>
            <w:vAlign w:val="top"/>
            <w:tcMar>
              <w:top w:w="60" w:type="dxa"/>
              <w:start w:w="90" w:type="dxa"/>
              <w:bottom w:w="60" w:type="dxa"/>
              <w:end w:w="90" w:type="dxa"/>
            </w:tcMar>
            <w:shd w:fill="F1F3F3"/>
          </w:tcPr>
          <w:p>
            <w:pPr>
              <w:keepLines/>
              <w:spacing w:after="0"/>
            </w:pPr>
            <w:r/>
            <w:r>
              <w:rPr>
                <w:rFonts w:ascii="Times New Roman" w:hAnsi="Times New Roman"/>
                <w:sz w:val="17"/>
              </w:rPr>
              <w:t>Monitoring und Incident Response</w:t>
            </w:r>
          </w:p>
        </w:tc>
        <w:tc>
          <w:tcPr>
            <w:tcW w:type="dxa" w:w="1624"/>
            <w:vAlign w:val="top"/>
            <w:tcMar>
              <w:top w:w="60" w:type="dxa"/>
              <w:start w:w="90" w:type="dxa"/>
              <w:bottom w:w="60" w:type="dxa"/>
              <w:end w:w="90" w:type="dxa"/>
            </w:tcMar>
            <w:shd w:fill="F1F3F3"/>
          </w:tcPr>
          <w:p>
            <w:pPr>
              <w:keepLines/>
              <w:spacing w:after="0"/>
            </w:pPr>
            <w:r/>
            <w:r>
              <w:rPr>
                <w:rFonts w:ascii="Times New Roman" w:hAnsi="Times New Roman"/>
                <w:sz w:val="17"/>
              </w:rPr>
              <w:t>erfüllt</w:t>
            </w:r>
          </w:p>
        </w:tc>
        <w:tc>
          <w:tcPr>
            <w:tcW w:type="dxa" w:w="1941"/>
            <w:vAlign w:val="top"/>
            <w:tcMar>
              <w:top w:w="60" w:type="dxa"/>
              <w:start w:w="90" w:type="dxa"/>
              <w:bottom w:w="60" w:type="dxa"/>
              <w:end w:w="90" w:type="dxa"/>
            </w:tcMar>
            <w:shd w:fill="F1F3F3"/>
          </w:tcPr>
          <w:p>
            <w:pPr>
              <w:keepLines/>
              <w:spacing w:after="0"/>
            </w:pPr>
            <w:r/>
            <w:r>
              <w:rPr>
                <w:rFonts w:ascii="Times New Roman" w:hAnsi="Times New Roman"/>
                <w:sz w:val="17"/>
              </w:rPr>
              <w:t>Energie</w:t>
            </w:r>
          </w:p>
        </w:tc>
        <w:tc>
          <w:tcPr>
            <w:tcW w:type="dxa" w:w="1582"/>
            <w:vAlign w:val="top"/>
            <w:tcMar>
              <w:top w:w="60" w:type="dxa"/>
              <w:start w:w="90" w:type="dxa"/>
              <w:bottom w:w="60" w:type="dxa"/>
              <w:end w:w="90" w:type="dxa"/>
            </w:tcMar>
            <w:shd w:fill="F1F3F3"/>
          </w:tcPr>
          <w:p>
            <w:pPr>
              <w:keepLines/>
              <w:spacing w:after="0"/>
            </w:pPr>
            <w:r/>
            <w:r>
              <w:rPr>
                <w:rFonts w:ascii="Times New Roman" w:hAnsi="Times New Roman"/>
                <w:sz w:val="17"/>
              </w:rPr>
              <w:t>vergleichbar</w:t>
            </w:r>
          </w:p>
        </w:tc>
      </w:tr>
      <w:tr>
        <w:trPr>
          <w:cantSplit/>
        </w:trPr>
        <w:tc>
          <w:tcPr>
            <w:tcW w:type="dxa" w:w="1941"/>
            <w:vAlign w:val="top"/>
            <w:tcMar>
              <w:top w:w="60" w:type="dxa"/>
              <w:start w:w="90" w:type="dxa"/>
              <w:bottom w:w="60" w:type="dxa"/>
              <w:end w:w="90" w:type="dxa"/>
            </w:tcMar>
          </w:tcPr>
          <w:p>
            <w:pPr>
              <w:keepLines/>
              <w:spacing w:after="0"/>
            </w:pPr>
            <w:r/>
            <w:r>
              <w:rPr>
                <w:rFonts w:ascii="Times New Roman" w:hAnsi="Times New Roman"/>
                <w:sz w:val="17"/>
              </w:rPr>
              <w:t>Kommunalwerke Havel</w:t>
            </w:r>
          </w:p>
        </w:tc>
        <w:tc>
          <w:tcPr>
            <w:tcW w:type="dxa" w:w="1984"/>
            <w:vAlign w:val="top"/>
            <w:tcMar>
              <w:top w:w="60" w:type="dxa"/>
              <w:start w:w="90" w:type="dxa"/>
              <w:bottom w:w="60" w:type="dxa"/>
              <w:end w:w="90" w:type="dxa"/>
            </w:tcMar>
          </w:tcPr>
          <w:p>
            <w:pPr>
              <w:keepLines/>
              <w:spacing w:after="0"/>
            </w:pPr>
            <w:r/>
            <w:r>
              <w:rPr>
                <w:rFonts w:ascii="Times New Roman" w:hAnsi="Times New Roman"/>
                <w:sz w:val="17"/>
              </w:rPr>
              <w:t>SOC, SIEM und Rufbereitschaft</w:t>
            </w:r>
          </w:p>
        </w:tc>
        <w:tc>
          <w:tcPr>
            <w:tcW w:type="dxa" w:w="1624"/>
            <w:vAlign w:val="top"/>
            <w:tcMar>
              <w:top w:w="60" w:type="dxa"/>
              <w:start w:w="90" w:type="dxa"/>
              <w:bottom w:w="60" w:type="dxa"/>
              <w:end w:w="90" w:type="dxa"/>
            </w:tcMar>
          </w:tcPr>
          <w:p>
            <w:pPr>
              <w:keepLines/>
              <w:spacing w:after="0"/>
            </w:pPr>
            <w:r/>
            <w:r>
              <w:rPr>
                <w:rFonts w:ascii="Times New Roman" w:hAnsi="Times New Roman"/>
                <w:sz w:val="17"/>
              </w:rPr>
              <w:t>erfüllt</w:t>
            </w:r>
          </w:p>
        </w:tc>
        <w:tc>
          <w:tcPr>
            <w:tcW w:type="dxa" w:w="1941"/>
            <w:vAlign w:val="top"/>
            <w:tcMar>
              <w:top w:w="60" w:type="dxa"/>
              <w:start w:w="90" w:type="dxa"/>
              <w:bottom w:w="60" w:type="dxa"/>
              <w:end w:w="90" w:type="dxa"/>
            </w:tcMar>
          </w:tcPr>
          <w:p>
            <w:pPr>
              <w:keepLines/>
              <w:spacing w:after="0"/>
            </w:pPr>
            <w:r/>
            <w:r>
              <w:rPr>
                <w:rFonts w:ascii="Times New Roman" w:hAnsi="Times New Roman"/>
                <w:sz w:val="17"/>
              </w:rPr>
              <w:t>Wasser und kommunale IT</w:t>
            </w:r>
          </w:p>
        </w:tc>
        <w:tc>
          <w:tcPr>
            <w:tcW w:type="dxa" w:w="1582"/>
            <w:vAlign w:val="top"/>
            <w:tcMar>
              <w:top w:w="60" w:type="dxa"/>
              <w:start w:w="90" w:type="dxa"/>
              <w:bottom w:w="60" w:type="dxa"/>
              <w:end w:w="90" w:type="dxa"/>
            </w:tcMar>
          </w:tcPr>
          <w:p>
            <w:pPr>
              <w:keepLines/>
              <w:spacing w:after="0"/>
            </w:pPr>
            <w:r/>
            <w:r>
              <w:rPr>
                <w:rFonts w:ascii="Times New Roman" w:hAnsi="Times New Roman"/>
                <w:sz w:val="17"/>
              </w:rPr>
              <w:t>vergleichbar</w:t>
            </w:r>
          </w:p>
        </w:tc>
      </w:tr>
    </w:tbl>
    <w:p>
      <w:pPr>
        <w:spacing w:after="0" w:before="40"/>
      </w:pPr>
    </w:p>
    <w:p>
      <w:pPr>
        <w:keepNext/>
        <w:keepLines/>
      </w:pPr>
      <w:r>
        <w:t>Die fehlende unmittelbare ÖPNV-Zuordnung führt nicht zum Ausschluss. Inhalt, Umfang und Komplexität erreichen das veröffentlichte Mindestniveau.</w:t>
      </w:r>
    </w:p>
    <w:p>
      <w:pPr>
        <w:pStyle w:val="Heading1"/>
        <w:keepNext/>
        <w:keepLines/>
      </w:pPr>
      <w:r>
        <w:t>3. Angebotswertung</w:t>
      </w:r>
    </w:p>
    <w:tbl>
      <w:tblPr>
        <w:tblStyle w:val="TableGrid"/>
        <w:tblW w:type="dxa" w:w="9073"/>
        <w:jc w:val="left"/>
        <w:tblLayout w:type="fixed"/>
        <w:tblLook w:firstColumn="1" w:firstRow="1" w:lastColumn="0" w:lastRow="0" w:noHBand="0" w:noVBand="1" w:val="04A0"/>
      </w:tblPr>
      <w:tblGrid>
        <w:gridCol w:w="1987"/>
        <w:gridCol w:w="1181"/>
        <w:gridCol w:w="1181"/>
        <w:gridCol w:w="1181"/>
        <w:gridCol w:w="1181"/>
        <w:gridCol w:w="1181"/>
        <w:gridCol w:w="1181"/>
      </w:tblGrid>
      <w:tr>
        <w:trPr>
          <w:tblHeader w:val="true"/>
          <w:cantSplit/>
        </w:trPr>
        <w:tc>
          <w:tcPr>
            <w:tcW w:type="dxa" w:w="1987"/>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Preis</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Fachkonzept</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Reaktionszeiten</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Nachhaltigkeit</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Gesamt</w:t>
            </w:r>
          </w:p>
        </w:tc>
        <w:tc>
          <w:tcPr>
            <w:tcW w:type="dxa" w:w="11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Rang</w:t>
            </w:r>
          </w:p>
        </w:tc>
      </w:tr>
      <w:tr>
        <w:trPr>
          <w:cantSplit/>
        </w:trPr>
        <w:tc>
          <w:tcPr>
            <w:tcW w:type="dxa" w:w="1987"/>
            <w:vAlign w:val="top"/>
            <w:tcMar>
              <w:top w:w="60" w:type="dxa"/>
              <w:start w:w="90" w:type="dxa"/>
              <w:bottom w:w="60" w:type="dxa"/>
              <w:end w:w="90" w:type="dxa"/>
            </w:tcMar>
          </w:tcPr>
          <w:p>
            <w:pPr>
              <w:keepLines/>
              <w:spacing w:after="0"/>
            </w:pPr>
            <w:r/>
            <w:r>
              <w:rPr>
                <w:rFonts w:ascii="Times New Roman" w:hAnsi="Times New Roman"/>
                <w:sz w:val="17"/>
              </w:rPr>
              <w:t>CyberShield Defense GmbH</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37,40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31,50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15,00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7,80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91,70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1</w:t>
            </w:r>
          </w:p>
        </w:tc>
      </w:tr>
      <w:tr>
        <w:trPr>
          <w:cantSplit/>
        </w:trPr>
        <w:tc>
          <w:tcPr>
            <w:tcW w:type="dxa" w:w="1987"/>
            <w:vAlign w:val="top"/>
            <w:tcMar>
              <w:top w:w="60" w:type="dxa"/>
              <w:start w:w="90" w:type="dxa"/>
              <w:bottom w:w="60" w:type="dxa"/>
              <w:end w:w="90" w:type="dxa"/>
            </w:tcMar>
            <w:shd w:fill="F1F3F3"/>
          </w:tcPr>
          <w:p>
            <w:pPr>
              <w:keepLines/>
              <w:spacing w:after="0"/>
            </w:pPr>
            <w:r/>
            <w:r>
              <w:rPr>
                <w:rFonts w:ascii="Times New Roman" w:hAnsi="Times New Roman"/>
                <w:sz w:val="17"/>
              </w:rPr>
              <w:t>ProtectIT SE</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40,00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29,00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11,00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8,20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88,20</w:t>
            </w:r>
          </w:p>
        </w:tc>
        <w:tc>
          <w:tcPr>
            <w:tcW w:type="dxa" w:w="1181"/>
            <w:vAlign w:val="top"/>
            <w:tcMar>
              <w:top w:w="60" w:type="dxa"/>
              <w:start w:w="90" w:type="dxa"/>
              <w:bottom w:w="60" w:type="dxa"/>
              <w:end w:w="90" w:type="dxa"/>
            </w:tcMar>
            <w:shd w:fill="F1F3F3"/>
          </w:tcPr>
          <w:p>
            <w:pPr>
              <w:keepLines/>
              <w:spacing w:after="0"/>
            </w:pPr>
            <w:r/>
            <w:r>
              <w:rPr>
                <w:rFonts w:ascii="Times New Roman" w:hAnsi="Times New Roman"/>
                <w:sz w:val="17"/>
              </w:rPr>
              <w:t>2</w:t>
            </w:r>
          </w:p>
        </w:tc>
      </w:tr>
      <w:tr>
        <w:trPr>
          <w:cantSplit/>
        </w:trPr>
        <w:tc>
          <w:tcPr>
            <w:tcW w:type="dxa" w:w="1987"/>
            <w:vAlign w:val="top"/>
            <w:tcMar>
              <w:top w:w="60" w:type="dxa"/>
              <w:start w:w="90" w:type="dxa"/>
              <w:bottom w:w="60" w:type="dxa"/>
              <w:end w:w="90" w:type="dxa"/>
            </w:tcMar>
          </w:tcPr>
          <w:p>
            <w:pPr>
              <w:keepLines/>
              <w:spacing w:after="0"/>
            </w:pPr>
            <w:r/>
            <w:r>
              <w:rPr>
                <w:rFonts w:ascii="Times New Roman" w:hAnsi="Times New Roman"/>
                <w:sz w:val="17"/>
              </w:rPr>
              <w:t>NSI Northern Security Industries GmbH</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35,80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28,50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13,00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8,00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85,30</w:t>
            </w:r>
          </w:p>
        </w:tc>
        <w:tc>
          <w:tcPr>
            <w:tcW w:type="dxa" w:w="1181"/>
            <w:vAlign w:val="top"/>
            <w:tcMar>
              <w:top w:w="60" w:type="dxa"/>
              <w:start w:w="90" w:type="dxa"/>
              <w:bottom w:w="60" w:type="dxa"/>
              <w:end w:w="90" w:type="dxa"/>
            </w:tcMar>
          </w:tcPr>
          <w:p>
            <w:pPr>
              <w:keepLines/>
              <w:spacing w:after="0"/>
            </w:pPr>
            <w:r/>
            <w:r>
              <w:rPr>
                <w:rFonts w:ascii="Times New Roman" w:hAnsi="Times New Roman"/>
                <w:sz w:val="17"/>
              </w:rPr>
              <w:t>3</w:t>
            </w:r>
          </w:p>
        </w:tc>
      </w:tr>
    </w:tbl>
    <w:p>
      <w:pPr>
        <w:spacing w:after="0" w:before="40"/>
      </w:pPr>
    </w:p>
    <w:p>
      <w:pPr>
        <w:keepNext/>
        <w:keepLines/>
      </w:pPr>
      <w:r>
        <w:t>Bei ProtectIT wurde die ursprüngliche Severity-2-Zusage von 45 Minuten zugrunde gelegt. Die spätere Verkürzung auf 15 Minuten, die neue Rufkette und die Vor-Ort-Zusage hatten keine Punktwirkung.</w:t>
      </w:r>
    </w:p>
    <w:p>
      <w:pPr>
        <w:pStyle w:val="Heading1"/>
        <w:keepNext/>
        <w:keepLines/>
      </w:pPr>
      <w:r>
        <w:t>4. Vier-Augen- und Versionskontrolle</w:t>
      </w:r>
    </w:p>
    <w:tbl>
      <w:tblPr>
        <w:tblStyle w:val="TableGrid"/>
        <w:tblW w:type="dxa" w:w="9071"/>
        <w:jc w:val="left"/>
        <w:tblLayout w:type="fixed"/>
        <w:tblLook w:firstColumn="1" w:firstRow="1" w:lastColumn="0" w:lastRow="0" w:noHBand="0" w:noVBand="1" w:val="04A0"/>
      </w:tblPr>
      <w:tblGrid>
        <w:gridCol w:w="2341"/>
        <w:gridCol w:w="3703"/>
        <w:gridCol w:w="3027"/>
      </w:tblGrid>
      <w:tr>
        <w:trPr>
          <w:tblHeader w:val="true"/>
          <w:cantSplit/>
        </w:trPr>
        <w:tc>
          <w:tcPr>
            <w:tcW w:type="dxa" w:w="2341"/>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Kontrolle</w:t>
            </w:r>
          </w:p>
        </w:tc>
        <w:tc>
          <w:tcPr>
            <w:tcW w:type="dxa" w:w="3703"/>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c>
          <w:tcPr>
            <w:tcW w:type="dxa" w:w="3027"/>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Beleg</w:t>
            </w:r>
          </w:p>
        </w:tc>
      </w:tr>
      <w:tr>
        <w:trPr>
          <w:cantSplit/>
        </w:trPr>
        <w:tc>
          <w:tcPr>
            <w:tcW w:type="dxa" w:w="2341"/>
            <w:vAlign w:val="top"/>
            <w:tcMar>
              <w:top w:w="60" w:type="dxa"/>
              <w:start w:w="90" w:type="dxa"/>
              <w:bottom w:w="60" w:type="dxa"/>
              <w:end w:w="90" w:type="dxa"/>
            </w:tcMar>
          </w:tcPr>
          <w:p>
            <w:pPr>
              <w:keepLines/>
              <w:spacing w:after="0"/>
            </w:pPr>
            <w:r/>
            <w:r>
              <w:rPr>
                <w:rFonts w:ascii="Times New Roman" w:hAnsi="Times New Roman"/>
                <w:sz w:val="17"/>
              </w:rPr>
              <w:t>Angebotsfreeze</w:t>
            </w:r>
          </w:p>
        </w:tc>
        <w:tc>
          <w:tcPr>
            <w:tcW w:type="dxa" w:w="3703"/>
            <w:vAlign w:val="top"/>
            <w:tcMar>
              <w:top w:w="60" w:type="dxa"/>
              <w:start w:w="90" w:type="dxa"/>
              <w:bottom w:w="60" w:type="dxa"/>
              <w:end w:w="90" w:type="dxa"/>
            </w:tcMar>
          </w:tcPr>
          <w:p>
            <w:pPr>
              <w:keepLines/>
              <w:spacing w:after="0"/>
            </w:pPr>
            <w:r/>
            <w:r>
              <w:rPr>
                <w:rFonts w:ascii="Times New Roman" w:hAnsi="Times New Roman"/>
                <w:sz w:val="17"/>
              </w:rPr>
              <w:t>nur Dateien mit Eingang bis 22.04.2026, 10:00 Uhr</w:t>
            </w:r>
          </w:p>
        </w:tc>
        <w:tc>
          <w:tcPr>
            <w:tcW w:type="dxa" w:w="3027"/>
            <w:vAlign w:val="top"/>
            <w:tcMar>
              <w:top w:w="60" w:type="dxa"/>
              <w:start w:w="90" w:type="dxa"/>
              <w:bottom w:w="60" w:type="dxa"/>
              <w:end w:w="90" w:type="dxa"/>
            </w:tcMar>
          </w:tcPr>
          <w:p>
            <w:pPr>
              <w:keepLines/>
              <w:spacing w:after="0"/>
            </w:pPr>
            <w:r/>
            <w:r>
              <w:rPr>
                <w:rFonts w:ascii="Times New Roman" w:hAnsi="Times New Roman"/>
                <w:sz w:val="17"/>
              </w:rPr>
              <w:t>Portalexport und Hashliste</w:t>
            </w:r>
          </w:p>
        </w:tc>
      </w:tr>
      <w:tr>
        <w:trPr>
          <w:cantSplit/>
        </w:trPr>
        <w:tc>
          <w:tcPr>
            <w:tcW w:type="dxa" w:w="2341"/>
            <w:vAlign w:val="top"/>
            <w:tcMar>
              <w:top w:w="60" w:type="dxa"/>
              <w:start w:w="90" w:type="dxa"/>
              <w:bottom w:w="60" w:type="dxa"/>
              <w:end w:w="90" w:type="dxa"/>
            </w:tcMar>
            <w:shd w:fill="F1F3F3"/>
          </w:tcPr>
          <w:p>
            <w:pPr>
              <w:keepLines/>
              <w:spacing w:after="0"/>
            </w:pPr>
            <w:r/>
            <w:r>
              <w:rPr>
                <w:rFonts w:ascii="Times New Roman" w:hAnsi="Times New Roman"/>
                <w:sz w:val="17"/>
              </w:rPr>
              <w:t>Referenzmaßstab</w:t>
            </w:r>
          </w:p>
        </w:tc>
        <w:tc>
          <w:tcPr>
            <w:tcW w:type="dxa" w:w="3703"/>
            <w:vAlign w:val="top"/>
            <w:tcMar>
              <w:top w:w="60" w:type="dxa"/>
              <w:start w:w="90" w:type="dxa"/>
              <w:bottom w:w="60" w:type="dxa"/>
              <w:end w:w="90" w:type="dxa"/>
            </w:tcMar>
            <w:shd w:fill="F1F3F3"/>
          </w:tcPr>
          <w:p>
            <w:pPr>
              <w:keepLines/>
              <w:spacing w:after="0"/>
            </w:pPr>
            <w:r/>
            <w:r>
              <w:rPr>
                <w:rFonts w:ascii="Times New Roman" w:hAnsi="Times New Roman"/>
                <w:sz w:val="17"/>
              </w:rPr>
              <w:t>identische Prüffelder für alle Bieter</w:t>
            </w:r>
          </w:p>
        </w:tc>
        <w:tc>
          <w:tcPr>
            <w:tcW w:type="dxa" w:w="3027"/>
            <w:vAlign w:val="top"/>
            <w:tcMar>
              <w:top w:w="60" w:type="dxa"/>
              <w:start w:w="90" w:type="dxa"/>
              <w:bottom w:w="60" w:type="dxa"/>
              <w:end w:w="90" w:type="dxa"/>
            </w:tcMar>
            <w:shd w:fill="F1F3F3"/>
          </w:tcPr>
          <w:p>
            <w:pPr>
              <w:keepLines/>
              <w:spacing w:after="0"/>
            </w:pPr>
            <w:r/>
            <w:r>
              <w:rPr>
                <w:rFonts w:ascii="Times New Roman" w:hAnsi="Times New Roman"/>
                <w:sz w:val="17"/>
              </w:rPr>
              <w:t>Referenzmatrix Version 06</w:t>
            </w:r>
          </w:p>
        </w:tc>
      </w:tr>
      <w:tr>
        <w:trPr>
          <w:cantSplit/>
        </w:trPr>
        <w:tc>
          <w:tcPr>
            <w:tcW w:type="dxa" w:w="2341"/>
            <w:vAlign w:val="top"/>
            <w:tcMar>
              <w:top w:w="60" w:type="dxa"/>
              <w:start w:w="90" w:type="dxa"/>
              <w:bottom w:w="60" w:type="dxa"/>
              <w:end w:w="90" w:type="dxa"/>
            </w:tcMar>
          </w:tcPr>
          <w:p>
            <w:pPr>
              <w:keepLines/>
              <w:spacing w:after="0"/>
            </w:pPr>
            <w:r/>
            <w:r>
              <w:rPr>
                <w:rFonts w:ascii="Times New Roman" w:hAnsi="Times New Roman"/>
                <w:sz w:val="17"/>
              </w:rPr>
              <w:t>Rechenweg</w:t>
            </w:r>
          </w:p>
        </w:tc>
        <w:tc>
          <w:tcPr>
            <w:tcW w:type="dxa" w:w="3703"/>
            <w:vAlign w:val="top"/>
            <w:tcMar>
              <w:top w:w="60" w:type="dxa"/>
              <w:start w:w="90" w:type="dxa"/>
              <w:bottom w:w="60" w:type="dxa"/>
              <w:end w:w="90" w:type="dxa"/>
            </w:tcMar>
          </w:tcPr>
          <w:p>
            <w:pPr>
              <w:keepLines/>
              <w:spacing w:after="0"/>
            </w:pPr>
            <w:r/>
            <w:r>
              <w:rPr>
                <w:rFonts w:ascii="Times New Roman" w:hAnsi="Times New Roman"/>
                <w:sz w:val="17"/>
              </w:rPr>
              <w:t>Summen und Gewichtungen unabhängig nachgerechnet</w:t>
            </w:r>
          </w:p>
        </w:tc>
        <w:tc>
          <w:tcPr>
            <w:tcW w:type="dxa" w:w="3027"/>
            <w:vAlign w:val="top"/>
            <w:tcMar>
              <w:top w:w="60" w:type="dxa"/>
              <w:start w:w="90" w:type="dxa"/>
              <w:bottom w:w="60" w:type="dxa"/>
              <w:end w:w="90" w:type="dxa"/>
            </w:tcMar>
          </w:tcPr>
          <w:p>
            <w:pPr>
              <w:keepLines/>
              <w:spacing w:after="0"/>
            </w:pPr>
            <w:r/>
            <w:r>
              <w:rPr>
                <w:rFonts w:ascii="Times New Roman" w:hAnsi="Times New Roman"/>
                <w:sz w:val="17"/>
              </w:rPr>
              <w:t>Kontrollblatt IR-08</w:t>
            </w:r>
          </w:p>
        </w:tc>
      </w:tr>
      <w:tr>
        <w:trPr>
          <w:cantSplit/>
        </w:trPr>
        <w:tc>
          <w:tcPr>
            <w:tcW w:type="dxa" w:w="2341"/>
            <w:vAlign w:val="top"/>
            <w:tcMar>
              <w:top w:w="60" w:type="dxa"/>
              <w:start w:w="90" w:type="dxa"/>
              <w:bottom w:w="60" w:type="dxa"/>
              <w:end w:w="90" w:type="dxa"/>
            </w:tcMar>
            <w:shd w:fill="F1F3F3"/>
          </w:tcPr>
          <w:p>
            <w:pPr>
              <w:keepLines/>
              <w:spacing w:after="0"/>
            </w:pPr>
            <w:r/>
            <w:r>
              <w:rPr>
                <w:rFonts w:ascii="Times New Roman" w:hAnsi="Times New Roman"/>
                <w:sz w:val="17"/>
              </w:rPr>
              <w:t>Dokumentation</w:t>
            </w:r>
          </w:p>
        </w:tc>
        <w:tc>
          <w:tcPr>
            <w:tcW w:type="dxa" w:w="3703"/>
            <w:vAlign w:val="top"/>
            <w:tcMar>
              <w:top w:w="60" w:type="dxa"/>
              <w:start w:w="90" w:type="dxa"/>
              <w:bottom w:w="60" w:type="dxa"/>
              <w:end w:w="90" w:type="dxa"/>
            </w:tcMar>
            <w:shd w:fill="F1F3F3"/>
          </w:tcPr>
          <w:p>
            <w:pPr>
              <w:keepLines/>
              <w:spacing w:after="0"/>
            </w:pPr>
            <w:r/>
            <w:r>
              <w:rPr>
                <w:rFonts w:ascii="Times New Roman" w:hAnsi="Times New Roman"/>
                <w:sz w:val="17"/>
              </w:rPr>
              <w:t>jede Punktzahl mit Angebotsfundstelle</w:t>
            </w:r>
          </w:p>
        </w:tc>
        <w:tc>
          <w:tcPr>
            <w:tcW w:type="dxa" w:w="3027"/>
            <w:vAlign w:val="top"/>
            <w:tcMar>
              <w:top w:w="60" w:type="dxa"/>
              <w:start w:w="90" w:type="dxa"/>
              <w:bottom w:w="60" w:type="dxa"/>
              <w:end w:w="90" w:type="dxa"/>
            </w:tcMar>
            <w:shd w:fill="F1F3F3"/>
          </w:tcPr>
          <w:p>
            <w:pPr>
              <w:keepLines/>
              <w:spacing w:after="0"/>
            </w:pPr>
            <w:r/>
            <w:r>
              <w:rPr>
                <w:rFonts w:ascii="Times New Roman" w:hAnsi="Times New Roman"/>
                <w:sz w:val="17"/>
              </w:rPr>
              <w:t>Einzelbögen und Konsensprotokoll</w:t>
            </w:r>
          </w:p>
        </w:tc>
      </w:tr>
      <w:tr>
        <w:trPr>
          <w:cantSplit/>
        </w:trPr>
        <w:tc>
          <w:tcPr>
            <w:tcW w:type="dxa" w:w="2341"/>
            <w:vAlign w:val="top"/>
            <w:tcMar>
              <w:top w:w="60" w:type="dxa"/>
              <w:start w:w="90" w:type="dxa"/>
              <w:bottom w:w="60" w:type="dxa"/>
              <w:end w:w="90" w:type="dxa"/>
            </w:tcMar>
          </w:tcPr>
          <w:p>
            <w:pPr>
              <w:keepLines/>
              <w:spacing w:after="0"/>
            </w:pPr>
            <w:r/>
            <w:r>
              <w:rPr>
                <w:rFonts w:ascii="Times New Roman" w:hAnsi="Times New Roman"/>
                <w:sz w:val="17"/>
              </w:rPr>
              <w:t>spätere Dateien</w:t>
            </w:r>
          </w:p>
        </w:tc>
        <w:tc>
          <w:tcPr>
            <w:tcW w:type="dxa" w:w="3703"/>
            <w:vAlign w:val="top"/>
            <w:tcMar>
              <w:top w:w="60" w:type="dxa"/>
              <w:start w:w="90" w:type="dxa"/>
              <w:bottom w:w="60" w:type="dxa"/>
              <w:end w:w="90" w:type="dxa"/>
            </w:tcMar>
          </w:tcPr>
          <w:p>
            <w:pPr>
              <w:keepLines/>
              <w:spacing w:after="0"/>
            </w:pPr>
            <w:r/>
            <w:r>
              <w:rPr>
                <w:rFonts w:ascii="Times New Roman" w:hAnsi="Times New Roman"/>
                <w:sz w:val="17"/>
              </w:rPr>
              <w:t>technisch gesperrt und nicht verlinkt</w:t>
            </w:r>
          </w:p>
        </w:tc>
        <w:tc>
          <w:tcPr>
            <w:tcW w:type="dxa" w:w="3027"/>
            <w:vAlign w:val="top"/>
            <w:tcMar>
              <w:top w:w="60" w:type="dxa"/>
              <w:start w:w="90" w:type="dxa"/>
              <w:bottom w:w="60" w:type="dxa"/>
              <w:end w:w="90" w:type="dxa"/>
            </w:tcMar>
          </w:tcPr>
          <w:p>
            <w:pPr>
              <w:keepLines/>
              <w:spacing w:after="0"/>
            </w:pPr>
            <w:r/>
            <w:r>
              <w:rPr>
                <w:rFonts w:ascii="Times New Roman" w:hAnsi="Times New Roman"/>
                <w:sz w:val="17"/>
              </w:rPr>
              <w:t>Rechte- und Versionsprotokoll</w:t>
            </w:r>
          </w:p>
        </w:tc>
      </w:tr>
    </w:tbl>
    <w:p>
      <w:pPr>
        <w:spacing w:after="0" w:before="40"/>
      </w:pPr>
    </w:p>
    <w:p>
      <w:pPr>
        <w:pStyle w:val="Heading1"/>
        <w:keepNext/>
        <w:keepLines/>
      </w:pPr>
      <w:r>
        <w:t>5. Entscheidung</w:t>
      </w:r>
    </w:p>
    <w:p>
      <w:pPr>
        <w:keepNext/>
        <w:keepLines/>
      </w:pPr>
      <w:r>
        <w:t>Die frühere Zuschlagsentscheidung bleibt aufgehoben. Der Zuschlag soll nun auf das Angebot der CyberShield Defense GmbH erteilt werden. Vor Vertragsschluss werden die nicht zu berücksichtigenden Bieter unverzüglich mit einem neuen Informationsschreiben nach § 134 GWB über Unternehmen, Gründe und frühesten Vertragsschluss informiert.</w:t>
      </w:r>
    </w:p>
    <w:p>
      <w:pPr>
        <w:keepLines/>
      </w:pPr>
      <w:r>
        <w:t>Landeshauptstadt Schwerin Eigenbetrieb SDS</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LH-SN-Cyber-SOC-NSV-2026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Eigenbetrieb SDS</w:t>
      <w:t xml:space="preserve">  |  LH-SN-Cyber-SOC-NSV-2026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Umsetzung 3 VK 4/26 und 17 Verg 2/26</dc:title>
  <dc:subject>Neuwertungs- und Zuschlagsvermerk | Az. LH-SN-Cyber-SOC-NSV-2026</dc:subject>
  <dc:creator>Landeshauptstadt Schwerin - Eigenbetrieb SDS</dc:creator>
  <cp:keywords>Vergaberecht, LH-SN-Cyber-SOC-NSV-2026, Neuwertungs- und Zuschlagsvermerk</cp:keywords>
  <dc:description>generated by python-docx</dc:description>
  <cp:lastModifiedBy>Landeshauptstadt Schwerin - Eigenbetrieb SDS</cp:lastModifiedBy>
  <cp:revision>1</cp:revision>
  <dcterms:created xsi:type="dcterms:W3CDTF">2000-01-01T00:00:00Z</dcterms:created>
  <dcterms:modified xsi:type="dcterms:W3CDTF">2000-01-01T00:00:00Z</dcterms:modified>
  <cp:category>Vergabeakte</cp:category>
</cp:coreProperties>
</file>