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Eigenbetrieb SDS</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15.05.2026</w:t>
              <w:br/>
            </w:r>
            <w:r>
              <w:rPr>
                <w:rFonts w:ascii="Times New Roman" w:hAnsi="Times New Roman"/>
                <w:color w:val="646464"/>
                <w:sz w:val="18"/>
              </w:rPr>
              <w:t>Aktenzeichen: LH-SN-Cyber-SOC-NSV-2026 / Ref-04</w:t>
              <w:br/>
            </w:r>
            <w:r>
              <w:rPr>
                <w:rFonts w:ascii="Times New Roman" w:hAnsi="Times New Roman"/>
                <w:color w:val="646464"/>
                <w:sz w:val="18"/>
              </w:rPr>
              <w:t>Referenzbestätigungen und Rückrufprotokoll</w:t>
            </w:r>
          </w:p>
        </w:tc>
      </w:tr>
    </w:tbl>
    <w:p>
      <w:pPr>
        <w:spacing w:before="200" w:after="40"/>
      </w:pPr>
      <w:r>
        <w:rPr>
          <w:rFonts w:ascii="Times New Roman" w:hAnsi="Times New Roman"/>
          <w:color w:val="646464"/>
          <w:sz w:val="15"/>
        </w:rPr>
        <w:t>Landeshauptstadt Schwerin - Eigenbetrieb SDS · Am Grünen Tal 18, 19063 Schwerin</w:t>
      </w:r>
    </w:p>
    <w:p>
      <w:pPr>
        <w:spacing w:after="240"/>
      </w:pPr>
      <w:r>
        <w:t>Vergabeakte LH-SN-Cyber-SOC-NSV-2026</w:t>
      </w:r>
    </w:p>
    <w:p>
      <w:pPr>
        <w:pStyle w:val="Title"/>
      </w:pPr>
      <w:r>
        <w:t>Inhaltliche Verifikation der Referenzen der CyberShield Defense GmbH</w:t>
      </w:r>
    </w:p>
    <w:p>
      <w:pPr>
        <w:pStyle w:val="Heading1"/>
      </w:pPr>
      <w:r>
        <w:t>1. Prüfauftrag</w:t>
      </w:r>
    </w:p>
    <w:p>
      <w:r>
        <w:t>Auf Anforderung der Vergabekammer wurden die drei von CyberShield benannten Referenzgeber ausschließlich zu den bereits im Teilnahmeantrag enthaltenen Angaben befragt. Es wurden keine neuen Referenzprojekte zugelassen. Die Gespräche führten Fachprüferin Anja Peters und Vergabesachbearbeiter Tom Wiese gemeinsam über die in den Referenzblättern angegebenen dienstlichen Rufnummern.</w:t>
      </w:r>
    </w:p>
    <w:p>
      <w:pPr>
        <w:pStyle w:val="Heading1"/>
      </w:pPr>
      <w:r>
        <w:t>2. Verifizierte Leistungsdaten</w:t>
      </w:r>
    </w:p>
    <w:tbl>
      <w:tblPr>
        <w:tblStyle w:val="TableGrid"/>
        <w:tblW w:type="dxa" w:w="9070"/>
        <w:jc w:val="left"/>
        <w:tblLayout w:type="fixed"/>
        <w:tblLook w:firstColumn="1" w:firstRow="1" w:lastColumn="0" w:lastRow="0" w:noHBand="0" w:noVBand="1" w:val="04A0"/>
      </w:tblPr>
      <w:tblGrid>
        <w:gridCol w:w="1683"/>
        <w:gridCol w:w="1513"/>
        <w:gridCol w:w="2070"/>
        <w:gridCol w:w="1633"/>
        <w:gridCol w:w="2171"/>
      </w:tblGrid>
      <w:tr>
        <w:trPr>
          <w:tblHeader w:val="true"/>
          <w:cantSplit/>
        </w:trPr>
        <w:tc>
          <w:tcPr>
            <w:tcW w:type="dxa" w:w="1683"/>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Referenzgeber</w:t>
            </w:r>
          </w:p>
        </w:tc>
        <w:tc>
          <w:tcPr>
            <w:tcW w:type="dxa" w:w="1513"/>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Vertragszeitraum</w:t>
            </w:r>
          </w:p>
        </w:tc>
        <w:tc>
          <w:tcPr>
            <w:tcW w:type="dxa" w:w="2070"/>
            <w:vAlign w:val="top"/>
            <w:tcMar>
              <w:top w:w="60" w:type="dxa"/>
              <w:start w:w="90" w:type="dxa"/>
              <w:bottom w:w="60" w:type="dxa"/>
              <w:end w:w="90" w:type="dxa"/>
            </w:tcMar>
            <w:shd w:fill="01696F"/>
          </w:tcPr>
          <w:p>
            <w:pPr>
              <w:keepLines/>
              <w:spacing w:after="0"/>
            </w:pPr>
            <w:r/>
            <w:r>
              <w:rPr>
                <w:rFonts w:ascii="Times New Roman" w:hAnsi="Times New Roman"/>
                <w:b/>
                <w:color w:val="FFFFFF"/>
                <w:sz w:val="17"/>
              </w:rPr>
              <w:t>überwachte Umgebung</w:t>
            </w:r>
          </w:p>
        </w:tc>
        <w:tc>
          <w:tcPr>
            <w:tcW w:type="dxa" w:w="1633"/>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Reaktionsmodell</w:t>
            </w:r>
          </w:p>
        </w:tc>
        <w:tc>
          <w:tcPr>
            <w:tcW w:type="dxa" w:w="217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bestätigte Leistung</w:t>
            </w:r>
          </w:p>
        </w:tc>
      </w:tr>
      <w:tr>
        <w:trPr>
          <w:cantSplit/>
        </w:trPr>
        <w:tc>
          <w:tcPr>
            <w:tcW w:type="dxa" w:w="1683"/>
            <w:vAlign w:val="top"/>
            <w:tcMar>
              <w:top w:w="60" w:type="dxa"/>
              <w:start w:w="90" w:type="dxa"/>
              <w:bottom w:w="60" w:type="dxa"/>
              <w:end w:w="90" w:type="dxa"/>
            </w:tcMar>
          </w:tcPr>
          <w:p>
            <w:pPr>
              <w:keepLines/>
              <w:spacing w:after="0"/>
            </w:pPr>
            <w:r/>
            <w:r>
              <w:rPr>
                <w:rFonts w:ascii="Times New Roman" w:hAnsi="Times New Roman"/>
                <w:sz w:val="17"/>
              </w:rPr>
              <w:t>Stadtwerke Elbauen GmbH</w:t>
            </w:r>
          </w:p>
        </w:tc>
        <w:tc>
          <w:tcPr>
            <w:tcW w:type="dxa" w:w="1513"/>
            <w:vAlign w:val="top"/>
            <w:tcMar>
              <w:top w:w="60" w:type="dxa"/>
              <w:start w:w="90" w:type="dxa"/>
              <w:bottom w:w="60" w:type="dxa"/>
              <w:end w:w="90" w:type="dxa"/>
            </w:tcMar>
          </w:tcPr>
          <w:p>
            <w:pPr>
              <w:keepLines/>
              <w:spacing w:after="0"/>
            </w:pPr>
            <w:r/>
            <w:r>
              <w:rPr>
                <w:rFonts w:ascii="Times New Roman" w:hAnsi="Times New Roman"/>
                <w:sz w:val="17"/>
              </w:rPr>
              <w:t>01.2021 bis 12.2024</w:t>
            </w:r>
          </w:p>
        </w:tc>
        <w:tc>
          <w:tcPr>
            <w:tcW w:type="dxa" w:w="2070"/>
            <w:vAlign w:val="top"/>
            <w:tcMar>
              <w:top w:w="60" w:type="dxa"/>
              <w:start w:w="90" w:type="dxa"/>
              <w:bottom w:w="60" w:type="dxa"/>
              <w:end w:w="90" w:type="dxa"/>
            </w:tcMar>
          </w:tcPr>
          <w:p>
            <w:pPr>
              <w:keepLines/>
              <w:spacing w:after="0"/>
            </w:pPr>
            <w:r/>
            <w:r>
              <w:rPr>
                <w:rFonts w:ascii="Times New Roman" w:hAnsi="Times New Roman"/>
                <w:sz w:val="17"/>
              </w:rPr>
              <w:t>Energie, Wasser, kommunale Netze; 3.800 Endpunkte</w:t>
            </w:r>
          </w:p>
        </w:tc>
        <w:tc>
          <w:tcPr>
            <w:tcW w:type="dxa" w:w="1633"/>
            <w:vAlign w:val="top"/>
            <w:tcMar>
              <w:top w:w="60" w:type="dxa"/>
              <w:start w:w="90" w:type="dxa"/>
              <w:bottom w:w="60" w:type="dxa"/>
              <w:end w:w="90" w:type="dxa"/>
            </w:tcMar>
          </w:tcPr>
          <w:p>
            <w:pPr>
              <w:keepLines/>
              <w:spacing w:after="0"/>
            </w:pPr>
            <w:r/>
            <w:r>
              <w:rPr>
                <w:rFonts w:ascii="Times New Roman" w:hAnsi="Times New Roman"/>
                <w:sz w:val="17"/>
              </w:rPr>
              <w:t>24/7, Priorität 1 binnen 15 Minuten</w:t>
            </w:r>
          </w:p>
        </w:tc>
        <w:tc>
          <w:tcPr>
            <w:tcW w:type="dxa" w:w="2171"/>
            <w:vAlign w:val="top"/>
            <w:tcMar>
              <w:top w:w="60" w:type="dxa"/>
              <w:start w:w="90" w:type="dxa"/>
              <w:bottom w:w="60" w:type="dxa"/>
              <w:end w:w="90" w:type="dxa"/>
            </w:tcMar>
          </w:tcPr>
          <w:p>
            <w:pPr>
              <w:keepLines/>
              <w:spacing w:after="0"/>
            </w:pPr>
            <w:r/>
            <w:r>
              <w:rPr>
                <w:rFonts w:ascii="Times New Roman" w:hAnsi="Times New Roman"/>
                <w:sz w:val="17"/>
              </w:rPr>
              <w:t>Managed SOC, SIEM-Betrieb, Incident Response, Monatsberichte</w:t>
            </w:r>
          </w:p>
        </w:tc>
      </w:tr>
      <w:tr>
        <w:trPr>
          <w:cantSplit/>
        </w:trPr>
        <w:tc>
          <w:tcPr>
            <w:tcW w:type="dxa" w:w="1683"/>
            <w:vAlign w:val="top"/>
            <w:tcMar>
              <w:top w:w="60" w:type="dxa"/>
              <w:start w:w="90" w:type="dxa"/>
              <w:bottom w:w="60" w:type="dxa"/>
              <w:end w:w="90" w:type="dxa"/>
            </w:tcMar>
            <w:shd w:fill="F1F3F3"/>
          </w:tcPr>
          <w:p>
            <w:pPr>
              <w:keepLines/>
              <w:spacing w:after="0"/>
            </w:pPr>
            <w:r/>
            <w:r>
              <w:rPr>
                <w:rFonts w:ascii="Times New Roman" w:hAnsi="Times New Roman"/>
                <w:sz w:val="17"/>
              </w:rPr>
              <w:t>Versorgungsverbund Nord AöR</w:t>
            </w:r>
          </w:p>
        </w:tc>
        <w:tc>
          <w:tcPr>
            <w:tcW w:type="dxa" w:w="1513"/>
            <w:vAlign w:val="top"/>
            <w:tcMar>
              <w:top w:w="60" w:type="dxa"/>
              <w:start w:w="90" w:type="dxa"/>
              <w:bottom w:w="60" w:type="dxa"/>
              <w:end w:w="90" w:type="dxa"/>
            </w:tcMar>
            <w:shd w:fill="F1F3F3"/>
          </w:tcPr>
          <w:p>
            <w:pPr>
              <w:keepLines/>
              <w:spacing w:after="0"/>
            </w:pPr>
            <w:r/>
            <w:r>
              <w:rPr>
                <w:rFonts w:ascii="Times New Roman" w:hAnsi="Times New Roman"/>
                <w:sz w:val="17"/>
              </w:rPr>
              <w:t>04.2022 bis laufend</w:t>
            </w:r>
          </w:p>
        </w:tc>
        <w:tc>
          <w:tcPr>
            <w:tcW w:type="dxa" w:w="2070"/>
            <w:vAlign w:val="top"/>
            <w:tcMar>
              <w:top w:w="60" w:type="dxa"/>
              <w:start w:w="90" w:type="dxa"/>
              <w:bottom w:w="60" w:type="dxa"/>
              <w:end w:w="90" w:type="dxa"/>
            </w:tcMar>
            <w:shd w:fill="F1F3F3"/>
          </w:tcPr>
          <w:p>
            <w:pPr>
              <w:keepLines/>
              <w:spacing w:after="0"/>
            </w:pPr>
            <w:r/>
            <w:r>
              <w:rPr>
                <w:rFonts w:ascii="Times New Roman" w:hAnsi="Times New Roman"/>
                <w:sz w:val="17"/>
              </w:rPr>
              <w:t>Strom- und Gasnetzbetrieb; 2.600 Endpunkte</w:t>
            </w:r>
          </w:p>
        </w:tc>
        <w:tc>
          <w:tcPr>
            <w:tcW w:type="dxa" w:w="1633"/>
            <w:vAlign w:val="top"/>
            <w:tcMar>
              <w:top w:w="60" w:type="dxa"/>
              <w:start w:w="90" w:type="dxa"/>
              <w:bottom w:w="60" w:type="dxa"/>
              <w:end w:w="90" w:type="dxa"/>
            </w:tcMar>
            <w:shd w:fill="F1F3F3"/>
          </w:tcPr>
          <w:p>
            <w:pPr>
              <w:keepLines/>
              <w:spacing w:after="0"/>
            </w:pPr>
            <w:r/>
            <w:r>
              <w:rPr>
                <w:rFonts w:ascii="Times New Roman" w:hAnsi="Times New Roman"/>
                <w:sz w:val="17"/>
              </w:rPr>
              <w:t>24/7, Priorität 1 binnen 20 Minuten</w:t>
            </w:r>
          </w:p>
        </w:tc>
        <w:tc>
          <w:tcPr>
            <w:tcW w:type="dxa" w:w="2171"/>
            <w:vAlign w:val="top"/>
            <w:tcMar>
              <w:top w:w="60" w:type="dxa"/>
              <w:start w:w="90" w:type="dxa"/>
              <w:bottom w:w="60" w:type="dxa"/>
              <w:end w:w="90" w:type="dxa"/>
            </w:tcMar>
            <w:shd w:fill="F1F3F3"/>
          </w:tcPr>
          <w:p>
            <w:pPr>
              <w:keepLines/>
              <w:spacing w:after="0"/>
            </w:pPr>
            <w:r/>
            <w:r>
              <w:rPr>
                <w:rFonts w:ascii="Times New Roman" w:hAnsi="Times New Roman"/>
                <w:sz w:val="17"/>
              </w:rPr>
              <w:t>Monitoring, Use-Case-Pflege, Alarmtriage, Krisenunterstützung</w:t>
            </w:r>
          </w:p>
        </w:tc>
      </w:tr>
      <w:tr>
        <w:trPr>
          <w:cantSplit/>
        </w:trPr>
        <w:tc>
          <w:tcPr>
            <w:tcW w:type="dxa" w:w="1683"/>
            <w:vAlign w:val="top"/>
            <w:tcMar>
              <w:top w:w="60" w:type="dxa"/>
              <w:start w:w="90" w:type="dxa"/>
              <w:bottom w:w="60" w:type="dxa"/>
              <w:end w:w="90" w:type="dxa"/>
            </w:tcMar>
          </w:tcPr>
          <w:p>
            <w:pPr>
              <w:keepLines/>
              <w:spacing w:after="0"/>
            </w:pPr>
            <w:r/>
            <w:r>
              <w:rPr>
                <w:rFonts w:ascii="Times New Roman" w:hAnsi="Times New Roman"/>
                <w:sz w:val="17"/>
              </w:rPr>
              <w:t>Kommunalwerke Havel GmbH</w:t>
            </w:r>
          </w:p>
        </w:tc>
        <w:tc>
          <w:tcPr>
            <w:tcW w:type="dxa" w:w="1513"/>
            <w:vAlign w:val="top"/>
            <w:tcMar>
              <w:top w:w="60" w:type="dxa"/>
              <w:start w:w="90" w:type="dxa"/>
              <w:bottom w:w="60" w:type="dxa"/>
              <w:end w:w="90" w:type="dxa"/>
            </w:tcMar>
          </w:tcPr>
          <w:p>
            <w:pPr>
              <w:keepLines/>
              <w:spacing w:after="0"/>
            </w:pPr>
            <w:r/>
            <w:r>
              <w:rPr>
                <w:rFonts w:ascii="Times New Roman" w:hAnsi="Times New Roman"/>
                <w:sz w:val="17"/>
              </w:rPr>
              <w:t>07.2020 bis 06.2025</w:t>
            </w:r>
          </w:p>
        </w:tc>
        <w:tc>
          <w:tcPr>
            <w:tcW w:type="dxa" w:w="2070"/>
            <w:vAlign w:val="top"/>
            <w:tcMar>
              <w:top w:w="60" w:type="dxa"/>
              <w:start w:w="90" w:type="dxa"/>
              <w:bottom w:w="60" w:type="dxa"/>
              <w:end w:w="90" w:type="dxa"/>
            </w:tcMar>
          </w:tcPr>
          <w:p>
            <w:pPr>
              <w:keepLines/>
              <w:spacing w:after="0"/>
            </w:pPr>
            <w:r/>
            <w:r>
              <w:rPr>
                <w:rFonts w:ascii="Times New Roman" w:hAnsi="Times New Roman"/>
                <w:sz w:val="17"/>
              </w:rPr>
              <w:t>Wasser, kommunale IT und Verkehrsleittechnik; 4.150 Endpunkte</w:t>
            </w:r>
          </w:p>
        </w:tc>
        <w:tc>
          <w:tcPr>
            <w:tcW w:type="dxa" w:w="1633"/>
            <w:vAlign w:val="top"/>
            <w:tcMar>
              <w:top w:w="60" w:type="dxa"/>
              <w:start w:w="90" w:type="dxa"/>
              <w:bottom w:w="60" w:type="dxa"/>
              <w:end w:w="90" w:type="dxa"/>
            </w:tcMar>
          </w:tcPr>
          <w:p>
            <w:pPr>
              <w:keepLines/>
              <w:spacing w:after="0"/>
            </w:pPr>
            <w:r/>
            <w:r>
              <w:rPr>
                <w:rFonts w:ascii="Times New Roman" w:hAnsi="Times New Roman"/>
                <w:sz w:val="17"/>
              </w:rPr>
              <w:t>24/7, Priorität 1 binnen 15 Minuten</w:t>
            </w:r>
          </w:p>
        </w:tc>
        <w:tc>
          <w:tcPr>
            <w:tcW w:type="dxa" w:w="2171"/>
            <w:vAlign w:val="top"/>
            <w:tcMar>
              <w:top w:w="60" w:type="dxa"/>
              <w:start w:w="90" w:type="dxa"/>
              <w:bottom w:w="60" w:type="dxa"/>
              <w:end w:w="90" w:type="dxa"/>
            </w:tcMar>
          </w:tcPr>
          <w:p>
            <w:pPr>
              <w:keepLines/>
              <w:spacing w:after="0"/>
            </w:pPr>
            <w:r/>
            <w:r>
              <w:rPr>
                <w:rFonts w:ascii="Times New Roman" w:hAnsi="Times New Roman"/>
                <w:sz w:val="17"/>
              </w:rPr>
              <w:t>SOC, SIEM, Rufbereitschaft, Forensik und Wiederanlaufbegleitung</w:t>
            </w:r>
          </w:p>
        </w:tc>
      </w:tr>
    </w:tbl>
    <w:p>
      <w:pPr>
        <w:spacing w:after="0" w:before="40"/>
      </w:pPr>
    </w:p>
    <w:p>
      <w:pPr>
        <w:pStyle w:val="Heading1"/>
      </w:pPr>
      <w:r>
        <w:t>3. Gesprächsprotokolle</w:t>
      </w:r>
    </w:p>
    <w:tbl>
      <w:tblPr>
        <w:tblStyle w:val="TableGrid"/>
        <w:tblW w:type="dxa" w:w="9071"/>
        <w:jc w:val="left"/>
        <w:tblLayout w:type="fixed"/>
        <w:tblLook w:firstColumn="1" w:firstRow="1" w:lastColumn="0" w:lastRow="0" w:noHBand="0" w:noVBand="1" w:val="04A0"/>
      </w:tblPr>
      <w:tblGrid>
        <w:gridCol w:w="1477"/>
        <w:gridCol w:w="2229"/>
        <w:gridCol w:w="2844"/>
        <w:gridCol w:w="2521"/>
      </w:tblGrid>
      <w:tr>
        <w:trPr>
          <w:tblHeader w:val="true"/>
          <w:cantSplit/>
        </w:trPr>
        <w:tc>
          <w:tcPr>
            <w:tcW w:type="dxa" w:w="1477"/>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Datum und Zeit</w:t>
            </w:r>
          </w:p>
        </w:tc>
        <w:tc>
          <w:tcPr>
            <w:tcW w:type="dxa" w:w="2229"/>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Gesprächspartner</w:t>
            </w:r>
          </w:p>
        </w:tc>
        <w:tc>
          <w:tcPr>
            <w:tcW w:type="dxa" w:w="28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Kernaussage</w:t>
            </w:r>
          </w:p>
        </w:tc>
        <w:tc>
          <w:tcPr>
            <w:tcW w:type="dxa" w:w="2521"/>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Vorbehalt</w:t>
            </w:r>
          </w:p>
        </w:tc>
      </w:tr>
      <w:tr>
        <w:trPr>
          <w:cantSplit/>
        </w:trPr>
        <w:tc>
          <w:tcPr>
            <w:tcW w:type="dxa" w:w="1477"/>
            <w:vAlign w:val="top"/>
            <w:tcMar>
              <w:top w:w="60" w:type="dxa"/>
              <w:start w:w="90" w:type="dxa"/>
              <w:bottom w:w="60" w:type="dxa"/>
              <w:end w:w="90" w:type="dxa"/>
            </w:tcMar>
          </w:tcPr>
          <w:p>
            <w:pPr>
              <w:keepLines/>
              <w:spacing w:after="0"/>
            </w:pPr>
            <w:r/>
            <w:r>
              <w:rPr>
                <w:rFonts w:ascii="Times New Roman" w:hAnsi="Times New Roman"/>
                <w:sz w:val="17"/>
              </w:rPr>
              <w:t>12.05.2026, 09:14 Uhr</w:t>
            </w:r>
          </w:p>
        </w:tc>
        <w:tc>
          <w:tcPr>
            <w:tcW w:type="dxa" w:w="2229"/>
            <w:vAlign w:val="top"/>
            <w:tcMar>
              <w:top w:w="60" w:type="dxa"/>
              <w:start w:w="90" w:type="dxa"/>
              <w:bottom w:w="60" w:type="dxa"/>
              <w:end w:w="90" w:type="dxa"/>
            </w:tcMar>
          </w:tcPr>
          <w:p>
            <w:pPr>
              <w:keepLines/>
              <w:spacing w:after="0"/>
            </w:pPr>
            <w:r/>
            <w:r>
              <w:rPr>
                <w:rFonts w:ascii="Times New Roman" w:hAnsi="Times New Roman"/>
                <w:sz w:val="17"/>
              </w:rPr>
              <w:t>Holger Kranz, CISO Stadtwerke Elbauen</w:t>
            </w:r>
          </w:p>
        </w:tc>
        <w:tc>
          <w:tcPr>
            <w:tcW w:type="dxa" w:w="2844"/>
            <w:vAlign w:val="top"/>
            <w:tcMar>
              <w:top w:w="60" w:type="dxa"/>
              <w:start w:w="90" w:type="dxa"/>
              <w:bottom w:w="60" w:type="dxa"/>
              <w:end w:w="90" w:type="dxa"/>
            </w:tcMar>
          </w:tcPr>
          <w:p>
            <w:pPr>
              <w:keepLines/>
              <w:spacing w:after="0"/>
            </w:pPr>
            <w:r/>
            <w:r>
              <w:rPr>
                <w:rFonts w:ascii="Times New Roman" w:hAnsi="Times New Roman"/>
                <w:sz w:val="17"/>
              </w:rPr>
              <w:t>CyberShield betrieb das SOC eigenverantwortlich und koordinierte zwei reale Priorität-1-Vorfälle</w:t>
            </w:r>
          </w:p>
        </w:tc>
        <w:tc>
          <w:tcPr>
            <w:tcW w:type="dxa" w:w="2521"/>
            <w:vAlign w:val="top"/>
            <w:tcMar>
              <w:top w:w="60" w:type="dxa"/>
              <w:start w:w="90" w:type="dxa"/>
              <w:bottom w:w="60" w:type="dxa"/>
              <w:end w:w="90" w:type="dxa"/>
            </w:tcMar>
          </w:tcPr>
          <w:p>
            <w:pPr>
              <w:keepLines/>
              <w:spacing w:after="0"/>
            </w:pPr>
            <w:r/>
            <w:r>
              <w:rPr>
                <w:rFonts w:ascii="Times New Roman" w:hAnsi="Times New Roman"/>
                <w:sz w:val="17"/>
              </w:rPr>
              <w:t>kein ÖPNV-Betrieb im Referenzumfang</w:t>
            </w:r>
          </w:p>
        </w:tc>
      </w:tr>
      <w:tr>
        <w:trPr>
          <w:cantSplit/>
        </w:trPr>
        <w:tc>
          <w:tcPr>
            <w:tcW w:type="dxa" w:w="1477"/>
            <w:vAlign w:val="top"/>
            <w:tcMar>
              <w:top w:w="60" w:type="dxa"/>
              <w:start w:w="90" w:type="dxa"/>
              <w:bottom w:w="60" w:type="dxa"/>
              <w:end w:w="90" w:type="dxa"/>
            </w:tcMar>
            <w:shd w:fill="F1F3F3"/>
          </w:tcPr>
          <w:p>
            <w:pPr>
              <w:keepLines/>
              <w:spacing w:after="0"/>
            </w:pPr>
            <w:r/>
            <w:r>
              <w:rPr>
                <w:rFonts w:ascii="Times New Roman" w:hAnsi="Times New Roman"/>
                <w:sz w:val="17"/>
              </w:rPr>
              <w:t>12.05.2026, 11:03 Uhr</w:t>
            </w:r>
          </w:p>
        </w:tc>
        <w:tc>
          <w:tcPr>
            <w:tcW w:type="dxa" w:w="2229"/>
            <w:vAlign w:val="top"/>
            <w:tcMar>
              <w:top w:w="60" w:type="dxa"/>
              <w:start w:w="90" w:type="dxa"/>
              <w:bottom w:w="60" w:type="dxa"/>
              <w:end w:w="90" w:type="dxa"/>
            </w:tcMar>
            <w:shd w:fill="F1F3F3"/>
          </w:tcPr>
          <w:p>
            <w:pPr>
              <w:keepLines/>
              <w:spacing w:after="0"/>
            </w:pPr>
            <w:r/>
            <w:r>
              <w:rPr>
                <w:rFonts w:ascii="Times New Roman" w:hAnsi="Times New Roman"/>
                <w:sz w:val="17"/>
              </w:rPr>
              <w:t>Dr. Lena Ort, IT-Leitung Versorgungsverbund Nord</w:t>
            </w:r>
          </w:p>
        </w:tc>
        <w:tc>
          <w:tcPr>
            <w:tcW w:type="dxa" w:w="2844"/>
            <w:vAlign w:val="top"/>
            <w:tcMar>
              <w:top w:w="60" w:type="dxa"/>
              <w:start w:w="90" w:type="dxa"/>
              <w:bottom w:w="60" w:type="dxa"/>
              <w:end w:w="90" w:type="dxa"/>
            </w:tcMar>
            <w:shd w:fill="F1F3F3"/>
          </w:tcPr>
          <w:p>
            <w:pPr>
              <w:keepLines/>
              <w:spacing w:after="0"/>
            </w:pPr>
            <w:r/>
            <w:r>
              <w:rPr>
                <w:rFonts w:ascii="Times New Roman" w:hAnsi="Times New Roman"/>
                <w:sz w:val="17"/>
              </w:rPr>
              <w:t>24/7-Rufbereitschaft und Reaktionszeiten wurden quartalsweise gemessen</w:t>
            </w:r>
          </w:p>
        </w:tc>
        <w:tc>
          <w:tcPr>
            <w:tcW w:type="dxa" w:w="2521"/>
            <w:vAlign w:val="top"/>
            <w:tcMar>
              <w:top w:w="60" w:type="dxa"/>
              <w:start w:w="90" w:type="dxa"/>
              <w:bottom w:w="60" w:type="dxa"/>
              <w:end w:w="90" w:type="dxa"/>
            </w:tcMar>
            <w:shd w:fill="F1F3F3"/>
          </w:tcPr>
          <w:p>
            <w:pPr>
              <w:keepLines/>
              <w:spacing w:after="0"/>
            </w:pPr>
            <w:r/>
            <w:r>
              <w:rPr>
                <w:rFonts w:ascii="Times New Roman" w:hAnsi="Times New Roman"/>
                <w:sz w:val="17"/>
              </w:rPr>
              <w:t>Vor-Ort-Leistung nur bei drei Vorfällen erforderlich</w:t>
            </w:r>
          </w:p>
        </w:tc>
      </w:tr>
      <w:tr>
        <w:trPr>
          <w:cantSplit/>
        </w:trPr>
        <w:tc>
          <w:tcPr>
            <w:tcW w:type="dxa" w:w="1477"/>
            <w:vAlign w:val="top"/>
            <w:tcMar>
              <w:top w:w="60" w:type="dxa"/>
              <w:start w:w="90" w:type="dxa"/>
              <w:bottom w:w="60" w:type="dxa"/>
              <w:end w:w="90" w:type="dxa"/>
            </w:tcMar>
          </w:tcPr>
          <w:p>
            <w:pPr>
              <w:keepLines/>
              <w:spacing w:after="0"/>
            </w:pPr>
            <w:r/>
            <w:r>
              <w:rPr>
                <w:rFonts w:ascii="Times New Roman" w:hAnsi="Times New Roman"/>
                <w:sz w:val="17"/>
              </w:rPr>
              <w:t>13.05.2026, 08:47 Uhr</w:t>
            </w:r>
          </w:p>
        </w:tc>
        <w:tc>
          <w:tcPr>
            <w:tcW w:type="dxa" w:w="2229"/>
            <w:vAlign w:val="top"/>
            <w:tcMar>
              <w:top w:w="60" w:type="dxa"/>
              <w:start w:w="90" w:type="dxa"/>
              <w:bottom w:w="60" w:type="dxa"/>
              <w:end w:w="90" w:type="dxa"/>
            </w:tcMar>
          </w:tcPr>
          <w:p>
            <w:pPr>
              <w:keepLines/>
              <w:spacing w:after="0"/>
            </w:pPr>
            <w:r/>
            <w:r>
              <w:rPr>
                <w:rFonts w:ascii="Times New Roman" w:hAnsi="Times New Roman"/>
                <w:sz w:val="17"/>
              </w:rPr>
              <w:t>Michael Bahr, Leiter Digitalisierung Kommunalwerke Havel</w:t>
            </w:r>
          </w:p>
        </w:tc>
        <w:tc>
          <w:tcPr>
            <w:tcW w:type="dxa" w:w="2844"/>
            <w:vAlign w:val="top"/>
            <w:tcMar>
              <w:top w:w="60" w:type="dxa"/>
              <w:start w:w="90" w:type="dxa"/>
              <w:bottom w:w="60" w:type="dxa"/>
              <w:end w:w="90" w:type="dxa"/>
            </w:tcMar>
          </w:tcPr>
          <w:p>
            <w:pPr>
              <w:keepLines/>
              <w:spacing w:after="0"/>
            </w:pPr>
            <w:r/>
            <w:r>
              <w:rPr>
                <w:rFonts w:ascii="Times New Roman" w:hAnsi="Times New Roman"/>
                <w:sz w:val="17"/>
              </w:rPr>
              <w:t>Verkehrsleittechnik war an das zentrale Monitoring angebunden; CyberShield begleitete Wiederanlaufübungen</w:t>
            </w:r>
          </w:p>
        </w:tc>
        <w:tc>
          <w:tcPr>
            <w:tcW w:type="dxa" w:w="2521"/>
            <w:vAlign w:val="top"/>
            <w:tcMar>
              <w:top w:w="60" w:type="dxa"/>
              <w:start w:w="90" w:type="dxa"/>
              <w:bottom w:w="60" w:type="dxa"/>
              <w:end w:w="90" w:type="dxa"/>
            </w:tcMar>
          </w:tcPr>
          <w:p>
            <w:pPr>
              <w:keepLines/>
              <w:spacing w:after="0"/>
            </w:pPr>
            <w:r/>
            <w:r>
              <w:rPr>
                <w:rFonts w:ascii="Times New Roman" w:hAnsi="Times New Roman"/>
                <w:sz w:val="17"/>
              </w:rPr>
              <w:t>kein Fahrgastinformationssystem betreut</w:t>
            </w:r>
          </w:p>
        </w:tc>
      </w:tr>
    </w:tbl>
    <w:p>
      <w:pPr>
        <w:spacing w:after="0" w:before="40"/>
      </w:pPr>
    </w:p>
    <w:p>
      <w:pPr>
        <w:keepNext/>
        <w:keepLines/>
      </w:pPr>
      <w:r>
        <w:t>Alle Gesprächspartner bestätigten, dass CyberShield wesentliche Leistungen selbst erbracht hat. Beim Versorgungsverbund Nord war die nächtliche Erstannahme an einen im Angebot benannten Unterauftragnehmer vergeben; Analyse, Entscheidung und Kundenkommunikation blieben bei CyberShield.</w:t>
      </w:r>
    </w:p>
    <w:p>
      <w:pPr>
        <w:pStyle w:val="Heading1"/>
        <w:keepNext/>
        <w:keepLines/>
      </w:pPr>
      <w:r>
        <w:t>4. Abgleich mit dem veröffentlichten Maßstab</w:t>
      </w:r>
    </w:p>
    <w:tbl>
      <w:tblPr>
        <w:tblStyle w:val="TableGrid"/>
        <w:tblW w:type="dxa" w:w="9071"/>
        <w:jc w:val="left"/>
        <w:tblLayout w:type="fixed"/>
        <w:tblLook w:firstColumn="1" w:firstRow="1" w:lastColumn="0" w:lastRow="0" w:noHBand="0" w:noVBand="1" w:val="04A0"/>
      </w:tblPr>
      <w:tblGrid>
        <w:gridCol w:w="2342"/>
        <w:gridCol w:w="3572"/>
        <w:gridCol w:w="3157"/>
      </w:tblGrid>
      <w:tr>
        <w:trPr>
          <w:tblHeader w:val="true"/>
          <w:cantSplit/>
        </w:trPr>
        <w:tc>
          <w:tcPr>
            <w:tcW w:type="dxa" w:w="2342"/>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Anforderung</w:t>
            </w:r>
          </w:p>
        </w:tc>
        <w:tc>
          <w:tcPr>
            <w:tcW w:type="dxa" w:w="3572"/>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Aktenbefund</w:t>
            </w:r>
          </w:p>
        </w:tc>
        <w:tc>
          <w:tcPr>
            <w:tcW w:type="dxa" w:w="3157"/>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2342"/>
            <w:vAlign w:val="top"/>
            <w:tcMar>
              <w:top w:w="60" w:type="dxa"/>
              <w:start w:w="90" w:type="dxa"/>
              <w:bottom w:w="60" w:type="dxa"/>
              <w:end w:w="90" w:type="dxa"/>
            </w:tcMar>
          </w:tcPr>
          <w:p>
            <w:pPr>
              <w:keepLines/>
              <w:spacing w:after="0"/>
            </w:pPr>
            <w:r/>
            <w:r>
              <w:rPr>
                <w:rFonts w:ascii="Times New Roman" w:hAnsi="Times New Roman"/>
                <w:sz w:val="17"/>
              </w:rPr>
              <w:t>drei vergleichbare Referenzen</w:t>
            </w:r>
          </w:p>
        </w:tc>
        <w:tc>
          <w:tcPr>
            <w:tcW w:type="dxa" w:w="3572"/>
            <w:vAlign w:val="top"/>
            <w:tcMar>
              <w:top w:w="60" w:type="dxa"/>
              <w:start w:w="90" w:type="dxa"/>
              <w:bottom w:w="60" w:type="dxa"/>
              <w:end w:w="90" w:type="dxa"/>
            </w:tcMar>
          </w:tcPr>
          <w:p>
            <w:pPr>
              <w:keepLines/>
              <w:spacing w:after="0"/>
            </w:pPr>
            <w:r/>
            <w:r>
              <w:rPr>
                <w:rFonts w:ascii="Times New Roman" w:hAnsi="Times New Roman"/>
                <w:sz w:val="17"/>
              </w:rPr>
              <w:t>drei bestätigte Verträge</w:t>
            </w:r>
          </w:p>
        </w:tc>
        <w:tc>
          <w:tcPr>
            <w:tcW w:type="dxa" w:w="3157"/>
            <w:vAlign w:val="top"/>
            <w:tcMar>
              <w:top w:w="60" w:type="dxa"/>
              <w:start w:w="90" w:type="dxa"/>
              <w:bottom w:w="60" w:type="dxa"/>
              <w:end w:w="90" w:type="dxa"/>
            </w:tcMar>
          </w:tcPr>
          <w:p>
            <w:pPr>
              <w:keepLines/>
              <w:spacing w:after="0"/>
            </w:pPr>
            <w:r/>
            <w:r>
              <w:rPr>
                <w:rFonts w:ascii="Times New Roman" w:hAnsi="Times New Roman"/>
                <w:sz w:val="17"/>
              </w:rPr>
              <w:t>erfüllt</w:t>
            </w:r>
          </w:p>
        </w:tc>
      </w:tr>
      <w:tr>
        <w:trPr>
          <w:cantSplit/>
        </w:trPr>
        <w:tc>
          <w:tcPr>
            <w:tcW w:type="dxa" w:w="2342"/>
            <w:vAlign w:val="top"/>
            <w:tcMar>
              <w:top w:w="60" w:type="dxa"/>
              <w:start w:w="90" w:type="dxa"/>
              <w:bottom w:w="60" w:type="dxa"/>
              <w:end w:w="90" w:type="dxa"/>
            </w:tcMar>
            <w:shd w:fill="F1F3F3"/>
          </w:tcPr>
          <w:p>
            <w:pPr>
              <w:keepLines/>
              <w:spacing w:after="0"/>
            </w:pPr>
            <w:r/>
            <w:r>
              <w:rPr>
                <w:rFonts w:ascii="Times New Roman" w:hAnsi="Times New Roman"/>
                <w:sz w:val="17"/>
              </w:rPr>
              <w:t>KRITIS-Bezug</w:t>
            </w:r>
          </w:p>
        </w:tc>
        <w:tc>
          <w:tcPr>
            <w:tcW w:type="dxa" w:w="3572"/>
            <w:vAlign w:val="top"/>
            <w:tcMar>
              <w:top w:w="60" w:type="dxa"/>
              <w:start w:w="90" w:type="dxa"/>
              <w:bottom w:w="60" w:type="dxa"/>
              <w:end w:w="90" w:type="dxa"/>
            </w:tcMar>
            <w:shd w:fill="F1F3F3"/>
          </w:tcPr>
          <w:p>
            <w:pPr>
              <w:keepLines/>
              <w:spacing w:after="0"/>
            </w:pPr>
            <w:r/>
            <w:r>
              <w:rPr>
                <w:rFonts w:ascii="Times New Roman" w:hAnsi="Times New Roman"/>
                <w:sz w:val="17"/>
              </w:rPr>
              <w:t>Energie, Wasser und kommunale Verkehrsleittechnik</w:t>
            </w:r>
          </w:p>
        </w:tc>
        <w:tc>
          <w:tcPr>
            <w:tcW w:type="dxa" w:w="3157"/>
            <w:vAlign w:val="top"/>
            <w:tcMar>
              <w:top w:w="60" w:type="dxa"/>
              <w:start w:w="90" w:type="dxa"/>
              <w:bottom w:w="60" w:type="dxa"/>
              <w:end w:w="90" w:type="dxa"/>
            </w:tcMar>
            <w:shd w:fill="F1F3F3"/>
          </w:tcPr>
          <w:p>
            <w:pPr>
              <w:keepLines/>
              <w:spacing w:after="0"/>
            </w:pPr>
            <w:r/>
            <w:r>
              <w:rPr>
                <w:rFonts w:ascii="Times New Roman" w:hAnsi="Times New Roman"/>
                <w:sz w:val="17"/>
              </w:rPr>
              <w:t>inhaltlich belegt</w:t>
            </w:r>
          </w:p>
        </w:tc>
      </w:tr>
      <w:tr>
        <w:trPr>
          <w:cantSplit/>
        </w:trPr>
        <w:tc>
          <w:tcPr>
            <w:tcW w:type="dxa" w:w="2342"/>
            <w:vAlign w:val="top"/>
            <w:tcMar>
              <w:top w:w="60" w:type="dxa"/>
              <w:start w:w="90" w:type="dxa"/>
              <w:bottom w:w="60" w:type="dxa"/>
              <w:end w:w="90" w:type="dxa"/>
            </w:tcMar>
          </w:tcPr>
          <w:p>
            <w:pPr>
              <w:keepLines/>
              <w:spacing w:after="0"/>
            </w:pPr>
            <w:r/>
            <w:r>
              <w:rPr>
                <w:rFonts w:ascii="Times New Roman" w:hAnsi="Times New Roman"/>
                <w:sz w:val="17"/>
              </w:rPr>
              <w:t>24/7-SOC-Betrieb</w:t>
            </w:r>
          </w:p>
        </w:tc>
        <w:tc>
          <w:tcPr>
            <w:tcW w:type="dxa" w:w="3572"/>
            <w:vAlign w:val="top"/>
            <w:tcMar>
              <w:top w:w="60" w:type="dxa"/>
              <w:start w:w="90" w:type="dxa"/>
              <w:bottom w:w="60" w:type="dxa"/>
              <w:end w:w="90" w:type="dxa"/>
            </w:tcMar>
          </w:tcPr>
          <w:p>
            <w:pPr>
              <w:keepLines/>
              <w:spacing w:after="0"/>
            </w:pPr>
            <w:r/>
            <w:r>
              <w:rPr>
                <w:rFonts w:ascii="Times New Roman" w:hAnsi="Times New Roman"/>
                <w:sz w:val="17"/>
              </w:rPr>
              <w:t>bei allen drei Referenzen bestätigt</w:t>
            </w:r>
          </w:p>
        </w:tc>
        <w:tc>
          <w:tcPr>
            <w:tcW w:type="dxa" w:w="3157"/>
            <w:vAlign w:val="top"/>
            <w:tcMar>
              <w:top w:w="60" w:type="dxa"/>
              <w:start w:w="90" w:type="dxa"/>
              <w:bottom w:w="60" w:type="dxa"/>
              <w:end w:w="90" w:type="dxa"/>
            </w:tcMar>
          </w:tcPr>
          <w:p>
            <w:pPr>
              <w:keepLines/>
              <w:spacing w:after="0"/>
            </w:pPr>
            <w:r/>
            <w:r>
              <w:rPr>
                <w:rFonts w:ascii="Times New Roman" w:hAnsi="Times New Roman"/>
                <w:sz w:val="17"/>
              </w:rPr>
              <w:t>erfüllt</w:t>
            </w:r>
          </w:p>
        </w:tc>
      </w:tr>
      <w:tr>
        <w:trPr>
          <w:cantSplit/>
        </w:trPr>
        <w:tc>
          <w:tcPr>
            <w:tcW w:type="dxa" w:w="2342"/>
            <w:vAlign w:val="top"/>
            <w:tcMar>
              <w:top w:w="60" w:type="dxa"/>
              <w:start w:w="90" w:type="dxa"/>
              <w:bottom w:w="60" w:type="dxa"/>
              <w:end w:w="90" w:type="dxa"/>
            </w:tcMar>
            <w:shd w:fill="F1F3F3"/>
          </w:tcPr>
          <w:p>
            <w:pPr>
              <w:keepLines/>
              <w:spacing w:after="0"/>
            </w:pPr>
            <w:r/>
            <w:r>
              <w:rPr>
                <w:rFonts w:ascii="Times New Roman" w:hAnsi="Times New Roman"/>
                <w:sz w:val="17"/>
              </w:rPr>
              <w:t>Mindestlaufzeit 24 Monate</w:t>
            </w:r>
          </w:p>
        </w:tc>
        <w:tc>
          <w:tcPr>
            <w:tcW w:type="dxa" w:w="3572"/>
            <w:vAlign w:val="top"/>
            <w:tcMar>
              <w:top w:w="60" w:type="dxa"/>
              <w:start w:w="90" w:type="dxa"/>
              <w:bottom w:w="60" w:type="dxa"/>
              <w:end w:w="90" w:type="dxa"/>
            </w:tcMar>
            <w:shd w:fill="F1F3F3"/>
          </w:tcPr>
          <w:p>
            <w:pPr>
              <w:keepLines/>
              <w:spacing w:after="0"/>
            </w:pPr>
            <w:r/>
            <w:r>
              <w:rPr>
                <w:rFonts w:ascii="Times New Roman" w:hAnsi="Times New Roman"/>
                <w:sz w:val="17"/>
              </w:rPr>
              <w:t>45, 49 und 60 Monate</w:t>
            </w:r>
          </w:p>
        </w:tc>
        <w:tc>
          <w:tcPr>
            <w:tcW w:type="dxa" w:w="3157"/>
            <w:vAlign w:val="top"/>
            <w:tcMar>
              <w:top w:w="60" w:type="dxa"/>
              <w:start w:w="90" w:type="dxa"/>
              <w:bottom w:w="60" w:type="dxa"/>
              <w:end w:w="90" w:type="dxa"/>
            </w:tcMar>
            <w:shd w:fill="F1F3F3"/>
          </w:tcPr>
          <w:p>
            <w:pPr>
              <w:keepLines/>
              <w:spacing w:after="0"/>
            </w:pPr>
            <w:r/>
            <w:r>
              <w:rPr>
                <w:rFonts w:ascii="Times New Roman" w:hAnsi="Times New Roman"/>
                <w:sz w:val="17"/>
              </w:rPr>
              <w:t>erfüllt</w:t>
            </w:r>
          </w:p>
        </w:tc>
      </w:tr>
      <w:tr>
        <w:trPr>
          <w:cantSplit/>
        </w:trPr>
        <w:tc>
          <w:tcPr>
            <w:tcW w:type="dxa" w:w="2342"/>
            <w:vAlign w:val="top"/>
            <w:tcMar>
              <w:top w:w="60" w:type="dxa"/>
              <w:start w:w="90" w:type="dxa"/>
              <w:bottom w:w="60" w:type="dxa"/>
              <w:end w:w="90" w:type="dxa"/>
            </w:tcMar>
          </w:tcPr>
          <w:p>
            <w:pPr>
              <w:keepLines/>
              <w:spacing w:after="0"/>
            </w:pPr>
            <w:r/>
            <w:r>
              <w:rPr>
                <w:rFonts w:ascii="Times New Roman" w:hAnsi="Times New Roman"/>
                <w:sz w:val="17"/>
              </w:rPr>
              <w:t>unmittelbarer ÖPNV-Sektor</w:t>
            </w:r>
          </w:p>
        </w:tc>
        <w:tc>
          <w:tcPr>
            <w:tcW w:type="dxa" w:w="3572"/>
            <w:vAlign w:val="top"/>
            <w:tcMar>
              <w:top w:w="60" w:type="dxa"/>
              <w:start w:w="90" w:type="dxa"/>
              <w:bottom w:w="60" w:type="dxa"/>
              <w:end w:w="90" w:type="dxa"/>
            </w:tcMar>
          </w:tcPr>
          <w:p>
            <w:pPr>
              <w:keepLines/>
              <w:spacing w:after="0"/>
            </w:pPr>
            <w:r/>
            <w:r>
              <w:rPr>
                <w:rFonts w:ascii="Times New Roman" w:hAnsi="Times New Roman"/>
                <w:sz w:val="17"/>
              </w:rPr>
              <w:t>im Kriterienkatalog nicht als ausdrückliche Mindestanforderung formuliert</w:t>
            </w:r>
          </w:p>
        </w:tc>
        <w:tc>
          <w:tcPr>
            <w:tcW w:type="dxa" w:w="3157"/>
            <w:vAlign w:val="top"/>
            <w:tcMar>
              <w:top w:w="60" w:type="dxa"/>
              <w:start w:w="90" w:type="dxa"/>
              <w:bottom w:w="60" w:type="dxa"/>
              <w:end w:w="90" w:type="dxa"/>
            </w:tcMar>
          </w:tcPr>
          <w:p>
            <w:pPr>
              <w:keepLines/>
              <w:spacing w:after="0"/>
            </w:pPr>
            <w:r/>
            <w:r>
              <w:rPr>
                <w:rFonts w:ascii="Times New Roman" w:hAnsi="Times New Roman"/>
                <w:sz w:val="17"/>
              </w:rPr>
              <w:t>darf nicht nachträglich zum Ausschlussmaßstab erhoben werden</w:t>
            </w:r>
          </w:p>
        </w:tc>
      </w:tr>
      <w:tr>
        <w:trPr>
          <w:cantSplit/>
        </w:trPr>
        <w:tc>
          <w:tcPr>
            <w:tcW w:type="dxa" w:w="2342"/>
            <w:vAlign w:val="top"/>
            <w:tcMar>
              <w:top w:w="60" w:type="dxa"/>
              <w:start w:w="90" w:type="dxa"/>
              <w:bottom w:w="60" w:type="dxa"/>
              <w:end w:w="90" w:type="dxa"/>
            </w:tcMar>
            <w:shd w:fill="F1F3F3"/>
          </w:tcPr>
          <w:p>
            <w:pPr>
              <w:keepLines/>
              <w:spacing w:after="0"/>
            </w:pPr>
            <w:r/>
            <w:r>
              <w:rPr>
                <w:rFonts w:ascii="Times New Roman" w:hAnsi="Times New Roman"/>
                <w:sz w:val="17"/>
              </w:rPr>
              <w:t>vergleichbare Komplexität</w:t>
            </w:r>
          </w:p>
        </w:tc>
        <w:tc>
          <w:tcPr>
            <w:tcW w:type="dxa" w:w="3572"/>
            <w:vAlign w:val="top"/>
            <w:tcMar>
              <w:top w:w="60" w:type="dxa"/>
              <w:start w:w="90" w:type="dxa"/>
              <w:bottom w:w="60" w:type="dxa"/>
              <w:end w:w="90" w:type="dxa"/>
            </w:tcMar>
            <w:shd w:fill="F1F3F3"/>
          </w:tcPr>
          <w:p>
            <w:pPr>
              <w:keepLines/>
              <w:spacing w:after="0"/>
            </w:pPr>
            <w:r/>
            <w:r>
              <w:rPr>
                <w:rFonts w:ascii="Times New Roman" w:hAnsi="Times New Roman"/>
                <w:sz w:val="17"/>
              </w:rPr>
              <w:t>mehrere Sektoren, vierstellige Endpunktzahlen, reale Incident-Bearbeitung</w:t>
            </w:r>
          </w:p>
        </w:tc>
        <w:tc>
          <w:tcPr>
            <w:tcW w:type="dxa" w:w="3157"/>
            <w:vAlign w:val="top"/>
            <w:tcMar>
              <w:top w:w="60" w:type="dxa"/>
              <w:start w:w="90" w:type="dxa"/>
              <w:bottom w:w="60" w:type="dxa"/>
              <w:end w:w="90" w:type="dxa"/>
            </w:tcMar>
            <w:shd w:fill="F1F3F3"/>
          </w:tcPr>
          <w:p>
            <w:pPr>
              <w:keepLines/>
              <w:spacing w:after="0"/>
            </w:pPr>
            <w:r/>
            <w:r>
              <w:rPr>
                <w:rFonts w:ascii="Times New Roman" w:hAnsi="Times New Roman"/>
                <w:sz w:val="17"/>
              </w:rPr>
              <w:t>gesonderte fachliche Würdigung erforderlich</w:t>
            </w:r>
          </w:p>
        </w:tc>
      </w:tr>
    </w:tbl>
    <w:p>
      <w:pPr>
        <w:spacing w:after="0" w:before="40"/>
      </w:pPr>
    </w:p>
    <w:p>
      <w:pPr>
        <w:pStyle w:val="Heading1"/>
        <w:keepNext/>
        <w:keepLines/>
      </w:pPr>
      <w:r>
        <w:t>5. Abweichung zur ursprünglichen Eignungsentscheidung</w:t>
      </w:r>
    </w:p>
    <w:p>
      <w:pPr>
        <w:keepNext/>
        <w:keepLines/>
      </w:pPr>
      <w:r>
        <w:t>Der ursprüngliche Prüfvermerk vom 11.04.2026 enthält in der Spalte „Sektor“ bei allen drei Referenzen den Eintrag „kein ÖPNV“ und leitet daraus ohne weitere Prüfung „nicht vergleichbar“ ab. Inhalt, Umfang, Endpunktzahl, 24/7-Betrieb und Incident-Verantwortung wurden dort nicht gewürdigt.</w:t>
      </w:r>
    </w:p>
    <w:p>
      <w:pPr>
        <w:keepNext/>
        <w:keepLines/>
      </w:pPr>
      <w:r>
        <w:t>Die Rückrufe bestätigen keine Behauptung, die erst nach Ablauf der Teilnahmefrist entstanden wäre. Sie verifizieren Angaben aus den fristgerecht eingereichten Referenzblättern. Ob und in welchem Umfang diese Verifikation als zulässige Aufklärung berücksichtigt werden darf, ist von einer unzulässigen Ersetzung oder Nachreichung einer Referenz zu trennen.</w:t>
      </w:r>
    </w:p>
    <w:p>
      <w:pPr>
        <w:pStyle w:val="Heading1"/>
        <w:keepNext/>
        <w:keepLines/>
      </w:pPr>
      <w:r>
        <w:t>6. Anlagen und Datenstatus</w:t>
      </w:r>
    </w:p>
    <w:tbl>
      <w:tblPr>
        <w:tblStyle w:val="TableGrid"/>
        <w:tblW w:type="dxa" w:w="9071"/>
        <w:jc w:val="left"/>
        <w:tblLayout w:type="fixed"/>
        <w:tblLook w:firstColumn="1" w:firstRow="1" w:lastColumn="0" w:lastRow="0" w:noHBand="0" w:noVBand="1" w:val="04A0"/>
      </w:tblPr>
      <w:tblGrid>
        <w:gridCol w:w="2235"/>
        <w:gridCol w:w="3534"/>
        <w:gridCol w:w="3302"/>
      </w:tblGrid>
      <w:tr>
        <w:trPr>
          <w:tblHeader w:val="true"/>
          <w:cantSplit/>
        </w:trPr>
        <w:tc>
          <w:tcPr>
            <w:tcW w:type="dxa" w:w="2235"/>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Anlage</w:t>
            </w:r>
          </w:p>
        </w:tc>
        <w:tc>
          <w:tcPr>
            <w:tcW w:type="dxa" w:w="3534"/>
            <w:vAlign w:val="top"/>
            <w:tcMar>
              <w:top w:w="60" w:type="dxa"/>
              <w:start w:w="90" w:type="dxa"/>
              <w:bottom w:w="60" w:type="dxa"/>
              <w:end w:w="90" w:type="dxa"/>
            </w:tcMar>
            <w:shd w:fill="01696F"/>
          </w:tcPr>
          <w:p>
            <w:pPr>
              <w:keepLines/>
              <w:spacing w:after="0"/>
            </w:pPr>
            <w:r/>
            <w:r>
              <w:rPr>
                <w:rFonts w:ascii="Times New Roman" w:hAnsi="Times New Roman"/>
                <w:b/>
                <w:color w:val="FFFFFF"/>
                <w:sz w:val="17"/>
              </w:rPr>
              <w:t>Inhalt</w:t>
            </w:r>
          </w:p>
        </w:tc>
        <w:tc>
          <w:tcPr>
            <w:tcW w:type="dxa" w:w="33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Status</w:t>
            </w:r>
          </w:p>
        </w:tc>
      </w:tr>
      <w:tr>
        <w:trPr>
          <w:cantSplit/>
        </w:trPr>
        <w:tc>
          <w:tcPr>
            <w:tcW w:type="dxa" w:w="2235"/>
            <w:vAlign w:val="top"/>
            <w:tcMar>
              <w:top w:w="60" w:type="dxa"/>
              <w:start w:w="90" w:type="dxa"/>
              <w:bottom w:w="60" w:type="dxa"/>
              <w:end w:w="90" w:type="dxa"/>
            </w:tcMar>
          </w:tcPr>
          <w:p>
            <w:pPr>
              <w:keepLines/>
              <w:spacing w:after="0"/>
            </w:pPr>
            <w:r/>
            <w:r>
              <w:rPr>
                <w:rFonts w:ascii="Times New Roman" w:hAnsi="Times New Roman"/>
                <w:sz w:val="17"/>
              </w:rPr>
              <w:t>R-1 bis R-3</w:t>
            </w:r>
          </w:p>
        </w:tc>
        <w:tc>
          <w:tcPr>
            <w:tcW w:type="dxa" w:w="3534"/>
            <w:vAlign w:val="top"/>
            <w:tcMar>
              <w:top w:w="60" w:type="dxa"/>
              <w:start w:w="90" w:type="dxa"/>
              <w:bottom w:w="60" w:type="dxa"/>
              <w:end w:w="90" w:type="dxa"/>
            </w:tcMar>
          </w:tcPr>
          <w:p>
            <w:pPr>
              <w:keepLines/>
              <w:spacing w:after="0"/>
            </w:pPr>
            <w:r/>
            <w:r>
              <w:rPr>
                <w:rFonts w:ascii="Times New Roman" w:hAnsi="Times New Roman"/>
                <w:sz w:val="17"/>
              </w:rPr>
              <w:t>ursprüngliche Referenzblätter</w:t>
            </w:r>
          </w:p>
        </w:tc>
        <w:tc>
          <w:tcPr>
            <w:tcW w:type="dxa" w:w="3302"/>
            <w:vAlign w:val="top"/>
            <w:tcMar>
              <w:top w:w="60" w:type="dxa"/>
              <w:start w:w="90" w:type="dxa"/>
              <w:bottom w:w="60" w:type="dxa"/>
              <w:end w:w="90" w:type="dxa"/>
            </w:tcMar>
          </w:tcPr>
          <w:p>
            <w:pPr>
              <w:keepLines/>
              <w:spacing w:after="0"/>
            </w:pPr>
            <w:r/>
            <w:r>
              <w:rPr>
                <w:rFonts w:ascii="Times New Roman" w:hAnsi="Times New Roman"/>
                <w:sz w:val="17"/>
              </w:rPr>
              <w:t>Portaloriginale, Hash geprüft</w:t>
            </w:r>
          </w:p>
        </w:tc>
      </w:tr>
      <w:tr>
        <w:trPr>
          <w:cantSplit/>
        </w:trPr>
        <w:tc>
          <w:tcPr>
            <w:tcW w:type="dxa" w:w="2235"/>
            <w:vAlign w:val="top"/>
            <w:tcMar>
              <w:top w:w="60" w:type="dxa"/>
              <w:start w:w="90" w:type="dxa"/>
              <w:bottom w:w="60" w:type="dxa"/>
              <w:end w:w="90" w:type="dxa"/>
            </w:tcMar>
            <w:shd w:fill="F1F3F3"/>
          </w:tcPr>
          <w:p>
            <w:pPr>
              <w:keepLines/>
              <w:spacing w:after="0"/>
            </w:pPr>
            <w:r/>
            <w:r>
              <w:rPr>
                <w:rFonts w:ascii="Times New Roman" w:hAnsi="Times New Roman"/>
                <w:sz w:val="17"/>
              </w:rPr>
              <w:t>R-4 bis R-6</w:t>
            </w:r>
          </w:p>
        </w:tc>
        <w:tc>
          <w:tcPr>
            <w:tcW w:type="dxa" w:w="3534"/>
            <w:vAlign w:val="top"/>
            <w:tcMar>
              <w:top w:w="60" w:type="dxa"/>
              <w:start w:w="90" w:type="dxa"/>
              <w:bottom w:w="60" w:type="dxa"/>
              <w:end w:w="90" w:type="dxa"/>
            </w:tcMar>
            <w:shd w:fill="F1F3F3"/>
          </w:tcPr>
          <w:p>
            <w:pPr>
              <w:keepLines/>
              <w:spacing w:after="0"/>
            </w:pPr>
            <w:r/>
            <w:r>
              <w:rPr>
                <w:rFonts w:ascii="Times New Roman" w:hAnsi="Times New Roman"/>
                <w:sz w:val="17"/>
              </w:rPr>
              <w:t>schriftliche Bestätigungen der Referenzgeber</w:t>
            </w:r>
          </w:p>
        </w:tc>
        <w:tc>
          <w:tcPr>
            <w:tcW w:type="dxa" w:w="3302"/>
            <w:vAlign w:val="top"/>
            <w:tcMar>
              <w:top w:w="60" w:type="dxa"/>
              <w:start w:w="90" w:type="dxa"/>
              <w:bottom w:w="60" w:type="dxa"/>
              <w:end w:w="90" w:type="dxa"/>
            </w:tcMar>
            <w:shd w:fill="F1F3F3"/>
          </w:tcPr>
          <w:p>
            <w:pPr>
              <w:keepLines/>
              <w:spacing w:after="0"/>
            </w:pPr>
            <w:r/>
            <w:r>
              <w:rPr>
                <w:rFonts w:ascii="Times New Roman" w:hAnsi="Times New Roman"/>
                <w:sz w:val="17"/>
              </w:rPr>
              <w:t>signierte PDF-Fassungen</w:t>
            </w:r>
          </w:p>
        </w:tc>
      </w:tr>
      <w:tr>
        <w:trPr>
          <w:cantSplit/>
        </w:trPr>
        <w:tc>
          <w:tcPr>
            <w:tcW w:type="dxa" w:w="2235"/>
            <w:vAlign w:val="top"/>
            <w:tcMar>
              <w:top w:w="60" w:type="dxa"/>
              <w:start w:w="90" w:type="dxa"/>
              <w:bottom w:w="60" w:type="dxa"/>
              <w:end w:w="90" w:type="dxa"/>
            </w:tcMar>
          </w:tcPr>
          <w:p>
            <w:pPr>
              <w:keepLines/>
              <w:spacing w:after="0"/>
            </w:pPr>
            <w:r/>
            <w:r>
              <w:rPr>
                <w:rFonts w:ascii="Times New Roman" w:hAnsi="Times New Roman"/>
                <w:sz w:val="17"/>
              </w:rPr>
              <w:t>R-7</w:t>
            </w:r>
          </w:p>
        </w:tc>
        <w:tc>
          <w:tcPr>
            <w:tcW w:type="dxa" w:w="3534"/>
            <w:vAlign w:val="top"/>
            <w:tcMar>
              <w:top w:w="60" w:type="dxa"/>
              <w:start w:w="90" w:type="dxa"/>
              <w:bottom w:w="60" w:type="dxa"/>
              <w:end w:w="90" w:type="dxa"/>
            </w:tcMar>
          </w:tcPr>
          <w:p>
            <w:pPr>
              <w:keepLines/>
              <w:spacing w:after="0"/>
            </w:pPr>
            <w:r/>
            <w:r>
              <w:rPr>
                <w:rFonts w:ascii="Times New Roman" w:hAnsi="Times New Roman"/>
                <w:sz w:val="17"/>
              </w:rPr>
              <w:t>Gesprächsnotizen 12. und 13.05.2026</w:t>
            </w:r>
          </w:p>
        </w:tc>
        <w:tc>
          <w:tcPr>
            <w:tcW w:type="dxa" w:w="3302"/>
            <w:vAlign w:val="top"/>
            <w:tcMar>
              <w:top w:w="60" w:type="dxa"/>
              <w:start w:w="90" w:type="dxa"/>
              <w:bottom w:w="60" w:type="dxa"/>
              <w:end w:w="90" w:type="dxa"/>
            </w:tcMar>
          </w:tcPr>
          <w:p>
            <w:pPr>
              <w:keepLines/>
              <w:spacing w:after="0"/>
            </w:pPr>
            <w:r/>
            <w:r>
              <w:rPr>
                <w:rFonts w:ascii="Times New Roman" w:hAnsi="Times New Roman"/>
                <w:sz w:val="17"/>
              </w:rPr>
              <w:t>von beiden Prüfenden gezeichnet</w:t>
            </w:r>
          </w:p>
        </w:tc>
      </w:tr>
      <w:tr>
        <w:trPr>
          <w:cantSplit/>
        </w:trPr>
        <w:tc>
          <w:tcPr>
            <w:tcW w:type="dxa" w:w="2235"/>
            <w:vAlign w:val="top"/>
            <w:tcMar>
              <w:top w:w="60" w:type="dxa"/>
              <w:start w:w="90" w:type="dxa"/>
              <w:bottom w:w="60" w:type="dxa"/>
              <w:end w:w="90" w:type="dxa"/>
            </w:tcMar>
            <w:shd w:fill="F1F3F3"/>
          </w:tcPr>
          <w:p>
            <w:pPr>
              <w:keepLines/>
              <w:spacing w:after="0"/>
            </w:pPr>
            <w:r/>
            <w:r>
              <w:rPr>
                <w:rFonts w:ascii="Times New Roman" w:hAnsi="Times New Roman"/>
                <w:sz w:val="17"/>
              </w:rPr>
              <w:t>R-8</w:t>
            </w:r>
          </w:p>
        </w:tc>
        <w:tc>
          <w:tcPr>
            <w:tcW w:type="dxa" w:w="3534"/>
            <w:vAlign w:val="top"/>
            <w:tcMar>
              <w:top w:w="60" w:type="dxa"/>
              <w:start w:w="90" w:type="dxa"/>
              <w:bottom w:w="60" w:type="dxa"/>
              <w:end w:w="90" w:type="dxa"/>
            </w:tcMar>
            <w:shd w:fill="F1F3F3"/>
          </w:tcPr>
          <w:p>
            <w:pPr>
              <w:keepLines/>
              <w:spacing w:after="0"/>
            </w:pPr>
            <w:r/>
            <w:r>
              <w:rPr>
                <w:rFonts w:ascii="Times New Roman" w:hAnsi="Times New Roman"/>
                <w:sz w:val="17"/>
              </w:rPr>
              <w:t>Vergleichsmatrix zum Kriterienkatalog</w:t>
            </w:r>
          </w:p>
        </w:tc>
        <w:tc>
          <w:tcPr>
            <w:tcW w:type="dxa" w:w="3302"/>
            <w:vAlign w:val="top"/>
            <w:tcMar>
              <w:top w:w="60" w:type="dxa"/>
              <w:start w:w="90" w:type="dxa"/>
              <w:bottom w:w="60" w:type="dxa"/>
              <w:end w:w="90" w:type="dxa"/>
            </w:tcMar>
            <w:shd w:fill="F1F3F3"/>
          </w:tcPr>
          <w:p>
            <w:pPr>
              <w:keepLines/>
              <w:spacing w:after="0"/>
            </w:pPr>
            <w:r/>
            <w:r>
              <w:rPr>
                <w:rFonts w:ascii="Times New Roman" w:hAnsi="Times New Roman"/>
                <w:sz w:val="17"/>
              </w:rPr>
              <w:t>Arbeitsfassung, keine neue Anforderung</w:t>
            </w:r>
          </w:p>
        </w:tc>
      </w:tr>
    </w:tbl>
    <w:p>
      <w:pPr>
        <w:spacing w:after="0" w:before="40"/>
      </w:pPr>
    </w:p>
    <w:p>
      <w:pPr>
        <w:keepLines/>
      </w:pPr>
      <w:r>
        <w:t>Anja Peters; Tom Wiese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LH-SN-Cyber-SOC-NSV-2026 / Ref-04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Eigenbetrieb SDS</w:t>
      <w:t xml:space="preserve">  |  LH-SN-Cyber-SOC-NSV-2026 / Ref-04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Inhaltliche Verifikation der Referenzen der CyberShield Defense GmbH</dc:title>
  <dc:subject>Referenzbestätigungen und Rückrufprotokoll | Az. LH-SN-Cyber-SOC-NSV-2026 / Ref-04</dc:subject>
  <dc:creator>Landeshauptstadt Schwerin - Eigenbetrieb SDS</dc:creator>
  <cp:keywords>Vergaberecht, LH-SN-Cyber-SOC-NSV-2026 / Ref-04, Referenzbestätigungen und Rückrufprotokoll</cp:keywords>
  <dc:description>generated by python-docx</dc:description>
  <cp:lastModifiedBy>Landeshauptstadt Schwerin - Eigenbetrieb SDS</cp:lastModifiedBy>
  <cp:revision>1</cp:revision>
  <dcterms:created xsi:type="dcterms:W3CDTF">2000-01-01T00:00:00Z</dcterms:created>
  <dcterms:modified xsi:type="dcterms:W3CDTF">2000-01-01T00:00:00Z</dcterms:modified>
  <cp:category>Vergabeakte</cp:category>
</cp:coreProperties>
</file>