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 zur Aufbereitung des Hofbogen Mandats</w:t>
      </w:r>
    </w:p>
    <w:p>
      <w:pPr>
        <w:widowControl/>
      </w:pPr>
      <w:r>
        <w:t>Berlin, 08.10.2026. Korbinian Kern an Dr. Samira Seidel. Wir begleiten die Hofbogen Immobilien GmbH bei ihrem Grundstückserwerb. Bitte prüfen Sie anhand des konkreten Tätigkeitsumfangs, welche geldwäscherechtlichen Pflichten in diesem Mandat ausgelöst werden und welche Unterlagen dazu fehlen.</w:t>
      </w:r>
    </w:p>
    <w:p>
      <w:pPr>
        <w:pStyle w:val="Heading1"/>
        <w:widowControl/>
      </w:pPr>
      <w:r>
        <w:t>1 Mandatsgrenzen</w:t>
      </w:r>
    </w:p>
    <w:p>
      <w:pPr>
        <w:widowControl/>
      </w:pPr>
      <w:r>
        <w:t>Der Auftrag umfasst die Prüfung und Verhandlung des Kaufvertrags sowie die Zusammenstellung von Unterlagen für das Notariat. Geldverwahrung, Kontoführung und Zahlungsweiterleitung sind nicht beauftragt. Eine daneben geführte vertrauliche Rechtsberatung ist in K-P08 separat dokumentiert.</w:t>
      </w:r>
    </w:p>
    <w:p>
      <w:pPr>
        <w:pStyle w:val="Heading1"/>
        <w:widowControl/>
      </w:pPr>
      <w:r>
        <w:t>2 Erwartete Arbeitsprodukte</w:t>
      </w:r>
    </w:p>
    <w:p>
      <w:pPr>
        <w:widowControl/>
      </w:pPr>
      <w:r>
        <w:t>Bitte erstellen Sie eine Beteiligungskette, eine Gegenüberstellung der unterschiedlichen Registerstände und eine Finanzierungsübersicht mit Belegstatus. Formulieren Sie die nächsten gezielten Rückfragen sowie einen internen Prüfvermerk zu den offenen Entscheidungen. Stellen Sie keine Meldung als bereits geboten dar, bevor Herkunft, Tatbestand und berufsbezogene Grenzen geprüft sind.</w:t>
      </w:r>
    </w:p>
    <w:p>
      <w:pPr>
        <w:pStyle w:val="Heading1"/>
        <w:widowControl/>
      </w:pPr>
      <w:r>
        <w:t>3 Weiteres Vorgehen</w:t>
      </w:r>
    </w:p>
    <w:p>
      <w:pPr>
        <w:widowControl/>
      </w:pPr>
      <w:r>
        <w:t>Die Beurkundung ist für den 15.10.2026 angefragt. Das Notariat erhält nur abgestimmte Unterlagen. Samira Seidel und Korbinian Kern besprechen den Stand am 09.10.2026. Versand, Registerhandlung oder behördliche Mitteilung sind in diesem Arbeitsauftrag nicht freigegeben.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Aufbereitung des Hofbogen Mandats</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