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einer Unterlagenanforderung</w:t>
      </w:r>
    </w:p>
    <w:p>
      <w:pPr>
        <w:widowControl/>
      </w:pPr>
      <w:r>
        <w:t>Seidel Kern Rechtsanwälte, Papiermühlenplatz 8, 10997 Berlin. An Hofbogen Immobilien GmbH, Frau Liv Morgenroth, Hofbogen 17, 10997 Berlin. Berlin, 08.10.2026.</w:t>
      </w:r>
    </w:p>
    <w:p>
      <w:pPr>
        <w:widowControl/>
      </w:pPr>
      <w:r>
        <w:t>Sehr geehrte Frau Morgenroth, für die weitere Begleitung des Erwerbs benötigen wir eine konsistente Dokumentation der aktuellen Beteiligungsverhältnisse. Die Übersicht vom 5. Oktober nennt andere Personen auf Ebene der Holding als der uns übersandte frühere Registerstand. Bitte senden Sie uns die Unterlagen, aus denen Zeitpunkt und Inhalt der Beteiligungsänderung hervorgehen, sowie den aktuellen Vertretungsnachweis von Herrn Luz.</w:t>
      </w:r>
    </w:p>
    <w:p>
      <w:pPr>
        <w:widowControl/>
      </w:pPr>
      <w:r>
        <w:t>Bitte teilen Sie außerdem mit, ob neben den Anteilen besondere Stimm-, Kontroll- oder Treuhandabreden bestehen. Den offengelegten Amtsträgerhinweis werden wir anhand belastbarer Angaben prüfen. Hierzu benötigen wir die genaue Identität und die Funktion der betreffenden Person sowie den zeitlichen Bezug; eine ungeprüfte Suchtrefferkopie allein reicht für unsere Dokumentation nicht aus.</w:t>
      </w:r>
    </w:p>
    <w:p>
      <w:pPr>
        <w:widowControl/>
      </w:pPr>
      <w:r>
        <w:t>Die Finanzierung ist rechnerisch beschrieben, aber die Herkunft der Eigenmittel noch nicht hinreichend belegt. Bitte reichen Sie die Unterlagen zum vorgesehenen Holdingdarlehen und zu Ihrer eigenen Mittelbereitstellung ein. Kontobelege sollten nur die für den konkreten Nachweis erforderlichen Informationen enthalten und über den vereinbarten geschützten Kanal übermittelt werden.</w:t>
      </w:r>
    </w:p>
    <w:p>
      <w:pPr>
        <w:widowControl/>
      </w:pPr>
      <w:r>
        <w:t>Wir bitten um Rückmeldung bis zum 12.10.2026, damit wir den weiteren Terminplan mit Ihnen abstimmen können. Diese organisatorische Bitte ersetzt keine gesonderte Prüfung rechtlich maßgeblicher Fristen. Mit freundlichen Grüßen, Dr. Samira Seidel, Rechtsanwältin. Entwurf ohne Versandfreigabe.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Unterlagenanforderung</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