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Vereinbarter Umfang der Transaktionsbegleitung</w:t>
      </w:r>
    </w:p>
    <w:p>
      <w:pPr>
        <w:widowControl/>
      </w:pPr>
      <w:r>
        <w:t>Entwurfsfassung zur Abstimmung zwischen Seidel Kern Rechtsanwälte und der Hofbogen Immobilien GmbH, 08.10.2026.</w:t>
      </w:r>
    </w:p>
    <w:p>
      <w:pPr>
        <w:pStyle w:val="Heading1"/>
        <w:widowControl/>
      </w:pPr>
      <w:r>
        <w:t>1 Vertragsarbeit</w:t>
      </w:r>
    </w:p>
    <w:p>
      <w:pPr>
        <w:widowControl/>
      </w:pPr>
      <w:r>
        <w:t>Die Kanzlei prüft den übermittelten Kaufvertragsentwurf zum Grundstück Werkhofbogen 21 und formuliert die mit der Mandantin abgestimmten Änderungswünsche. Sie wertet die vorgelegten Miet- und Objektunterlagen aus und weist auf für die Entscheidung wesentliche Lücken hin. Eine technische Untersuchung des Gebäudes ist nicht umfasst.</w:t>
      </w:r>
    </w:p>
    <w:p>
      <w:pPr>
        <w:pStyle w:val="Heading1"/>
        <w:widowControl/>
      </w:pPr>
      <w:r>
        <w:t>2 Kommunikation</w:t>
      </w:r>
    </w:p>
    <w:p>
      <w:pPr>
        <w:widowControl/>
      </w:pPr>
      <w:r>
        <w:t>Die Kanzlei bereitet die Korrespondenz mit Verkäuferin und Notariat vor. Die Mandantin benennt Liv Morgenroth als Ansprechpartnerin für geschäftliche Entscheidungen. Eine Weitergabe vertraulicher Beratungsinhalte wird durch die allgemeine Kommunikationsbeauftragung nicht pauschal angeordnet.</w:t>
      </w:r>
    </w:p>
    <w:p>
      <w:pPr>
        <w:pStyle w:val="Heading1"/>
        <w:widowControl/>
      </w:pPr>
      <w:r>
        <w:t>3 Zahlungsabwicklung</w:t>
      </w:r>
    </w:p>
    <w:p>
      <w:pPr>
        <w:widowControl/>
      </w:pPr>
      <w:r>
        <w:t>Die Kanzlei nimmt keine Kaufpreisgelder entgegen und richtet für diesen Erwerb kein Anderkonto ein. Die Mandantin organisiert die Finanzierung und zahlt über die dafür vereinbarten Bankwege. Die Prüfung von Unterlagen durch die Kanzlei bestätigt weder den Eingang noch die rechtmäßige Herkunft eines Geldbetrags.</w:t>
      </w:r>
    </w:p>
    <w:p>
      <w:pPr>
        <w:pStyle w:val="Heading1"/>
        <w:widowControl/>
      </w:pPr>
      <w:r>
        <w:t>4 Unterlagen und Fortgang</w:t>
      </w:r>
    </w:p>
    <w:p>
      <w:pPr>
        <w:widowControl/>
      </w:pPr>
      <w:r>
        <w:t>Die Mandantin stellt aktuelle Identitäts-, Vertretungs- und Beteiligungsunterlagen sowie auf begründete Nachfrage die benötigten Finanzierungsbelege bereit. Falls entscheidende Angaben fehlen, stimmt die Kanzlei den weiteren Bearbeitungsstand mit ihr ab. Dieses Papier ist ein ausformulierter Abstimmungsentwurf und noch keine abschließend unterzeichnete Mandatsvereinbarung.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Vereinbarter Umfang der Transaktionsbegleitung</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