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Arbeitsauftrag zur Klärung der Kaufpreisbelege</w:t>
      </w:r>
    </w:p>
    <w:p>
      <w:pPr>
        <w:widowControl/>
      </w:pPr>
      <w:r>
        <w:t>Notariat Feulner, 08.10.2026. Dr. Friederike Feulner an Noah Birkner. Bitte bereiten Sie den Vorgang NF-2026-0915 anhand sämtlicher eingegangener Belege für meine Entscheidung auf.</w:t>
      </w:r>
    </w:p>
    <w:p>
      <w:pPr>
        <w:pStyle w:val="Heading1"/>
        <w:widowControl/>
      </w:pPr>
      <w:r>
        <w:t>1 Zahlen und Belege</w:t>
      </w:r>
    </w:p>
    <w:p>
      <w:pPr>
        <w:widowControl/>
      </w:pPr>
      <w:r>
        <w:t>Der Kaufpreis beträgt 580.000,00 EUR. Zwei Unterlagen dokumentieren Bankabgänge von 450.000,00 EUR und 110.000,00 EUR. Die weitere behauptete Barzahlung von 20.000,00 EUR ist streitig. Bitte erfassen Sie für jeden Betrag, was der jeweilige Beleg tatsächlich bestätigt, und vermischen Sie weder Konten noch Zahlungsstadien.</w:t>
      </w:r>
    </w:p>
    <w:p>
      <w:pPr>
        <w:pStyle w:val="Heading1"/>
        <w:widowControl/>
      </w:pPr>
      <w:r>
        <w:t>2 Widersprüche</w:t>
      </w:r>
    </w:p>
    <w:p>
      <w:pPr>
        <w:widowControl/>
      </w:pPr>
      <w:r>
        <w:t>Stellen Sie die abweichenden Erklärungen des Verkäufers, der Käuferin und des Maklers gegenüber. Die Quittungskopie ist als Kopie mit teilweise sichtbarem Entwurfvermerk zu behandeln. Die Erklärung der Mutter ist getrennt von den Belegen zur Herkunft und zum Geldfluss aufzunehmen.</w:t>
      </w:r>
    </w:p>
    <w:p>
      <w:pPr>
        <w:pStyle w:val="Heading1"/>
        <w:widowControl/>
      </w:pPr>
      <w:r>
        <w:t>3 Arbeitsprodukte</w:t>
      </w:r>
    </w:p>
    <w:p>
      <w:pPr>
        <w:widowControl/>
      </w:pPr>
      <w:r>
        <w:t>Ich benötige eine Belegmatrix, einen ausformulierten Nachforderungsentwurf und einen Vermerk über die offenen Tatsachen und rechtlichen Fragen. Eine finale Vollzugsfreigabe, Registereinreichung oder externe Meldung ist damit nicht erteilt. Über weitere Handlungen entscheide ich nach Prüfung der Unterlagen in meiner Zuständigkeit.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zur Klärung der Kaufpreisbelege</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