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Arbeitsauftrag für Leni Riemenschneider</w:t>
      </w:r>
    </w:p>
    <w:p>
      <w:pPr>
        <w:widowControl/>
      </w:pPr>
      <w:r>
        <w:t>Erfurt, 08.10.2026. Ottmar Pflaum bittet die interne Geldwäschekoordination, den Auftrag WT-261001-17 vor der für morgen reservierten Auslieferung aufzubereiten. Das Unternehmen handelt mit Werkzeugmaschinen; es betreibt keinen Finanzdienst und keine Zahlungsabwicklung für Dritte.</w:t>
      </w:r>
    </w:p>
    <w:p>
      <w:pPr>
        <w:pStyle w:val="Heading1"/>
        <w:widowControl/>
      </w:pPr>
      <w:r>
        <w:t>1 Arbeitsumfang</w:t>
      </w:r>
    </w:p>
    <w:p>
      <w:pPr>
        <w:widowControl/>
      </w:pPr>
      <w:r>
        <w:t>Bitte stellen Sie den Auftrag, die beiden Kassenbelege, die Vertretung des Kunden und die noch fehlenden Angaben in einer überprüfbaren Übersicht zusammen. Halten Sie den tatsächlich erreichten Identifizierungsstand fest. Die bloße Ablage einer Kundenkopie darf nicht als abgeschlossene Prüfung bezeichnet werden.</w:t>
      </w:r>
    </w:p>
    <w:p>
      <w:pPr>
        <w:pStyle w:val="Heading1"/>
        <w:widowControl/>
      </w:pPr>
      <w:r>
        <w:t>2 Erwartetes Ergebnis</w:t>
      </w:r>
    </w:p>
    <w:p>
      <w:pPr>
        <w:widowControl/>
      </w:pPr>
      <w:r>
        <w:t>Ich benötige eine begründete interne Entscheidungsvorlage, einen ausformulierten Entwurf für die gezielte Nachfrage beim Kunden und eine kurze Nachricht an den Vertrieb zum weiteren Ablauf. Eine Verdachtsmeldung, Kundenbeschuldigung oder Kontaktaufnahme mit Behörden ist mit diesem Auftrag nicht freigegeben.</w:t>
      </w:r>
    </w:p>
    <w:p>
      <w:pPr>
        <w:pStyle w:val="Heading1"/>
        <w:widowControl/>
      </w:pPr>
      <w:r>
        <w:t>3 Zuständigkeit</w:t>
      </w:r>
    </w:p>
    <w:p>
      <w:pPr>
        <w:widowControl/>
      </w:pPr>
      <w:r>
        <w:t>Leni Riemenschneider bereitet die Unterlagen vor. Ottmar Pflaum entscheidet namentlich über interne Folgeschritte im Rahmen seiner Zuständigkeit; gesetzlich eigenständige Pflichten der handelnden Personen bleiben gesondert zu prüfen. Bis zur dokumentierten Entscheidung bleibt die kaufmännische Auslieferungsfreigabe offen.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für Leni Riemenschneider</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