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Abstimmung zwischen Vertrieb Kasse und Werkstatt</w:t>
      </w:r>
    </w:p>
    <w:p>
      <w:pPr>
        <w:widowControl/>
      </w:pPr>
      <w:r>
        <w:t>Besprechungsnotiz vom 08.10.2026 um 08:50 Uhr. Teilnehmerinnen und Teilnehmer sind Leni Riemenschneider, Nora Yilmaz, Bodo Krauß und Ottmar Pflaum. Die Notiz hält eine organisatorische Zwischenregelung fest.</w:t>
      </w:r>
    </w:p>
    <w:p>
      <w:pPr>
        <w:pStyle w:val="Heading1"/>
        <w:widowControl/>
      </w:pPr>
      <w:r>
        <w:t>1 Zahlungsinformationen</w:t>
      </w:r>
    </w:p>
    <w:p>
      <w:pPr>
        <w:widowControl/>
      </w:pPr>
      <w:r>
        <w:t>Die Kasse meldet weitere Zahlungseingänge zu WT-261001-17 unmittelbar an Leni und die Buchhaltung. Sie verändert die Buchungen der bereits angenommenen Zahlungen nicht nachträglich. Korrekturen erhalten einen eigenen nachvollziehbaren Vermerk.</w:t>
      </w:r>
    </w:p>
    <w:p>
      <w:pPr>
        <w:pStyle w:val="Heading1"/>
        <w:widowControl/>
      </w:pPr>
      <w:r>
        <w:t>2 Kundenkontakt</w:t>
      </w:r>
    </w:p>
    <w:p>
      <w:pPr>
        <w:widowControl/>
      </w:pPr>
      <w:r>
        <w:t>Bodo bündelt technische Rückfragen zur Maschine. Angaben zur Identifizierung und Vertretung gehen an Leni; sie bleiben außerhalb der allgemeinen Werkstattablage. Bodo sagt weder eine rechtliche Freigabe zu noch bezeichnet er den Kunden als verdächtig. Er erklärt lediglich, dass die kaufmännische Bearbeitung noch läuft.</w:t>
      </w:r>
    </w:p>
    <w:p>
      <w:pPr>
        <w:pStyle w:val="Heading1"/>
        <w:widowControl/>
      </w:pPr>
      <w:r>
        <w:t>3 Morgenplanung</w:t>
      </w:r>
    </w:p>
    <w:p>
      <w:pPr>
        <w:widowControl/>
      </w:pPr>
      <w:r>
        <w:t>Die Werkstatt hält die Maschine bereit, verlässt sich für die Auslieferung aber auf eine ausdrückliche dokumentierte Freigabe. Ohne diese Freigabe wird nicht verladen. Wenn der Transporttermin geändert werden muss, informiert Bodo den Kunden rechtzeitig. Kosten einer Umbuchung werden erst bewertet, wenn die zugrunde liegende Buchung vorliegt.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Abstimmung zwischen Vertrieb Kasse und Werkstatt</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