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Benno Seitz</w:t>
        <w:br/>
        <w:t>Insolvenzverwalter der Café Abendrot GmbH</w:t>
        <w:br/>
        <w:t>Kanzlei Seitz und Amsel, Ulmenbogen 4, 93049 Regensburg</w:t>
      </w:r>
    </w:p>
    <w:p>
      <w:r>
        <w:t>Sachbearbeiterin Nora Tauber</w:t>
      </w:r>
    </w:p>
    <w:p>
      <w:r>
        <w:t>06.10.2026</w:t>
      </w:r>
    </w:p>
    <w:p>
      <w:pPr>
        <w:pStyle w:val="Title"/>
      </w:pPr>
      <w:r>
        <w:t>Sachbearbeitung Café Abendrot</w:t>
      </w:r>
    </w:p>
    <w:p>
      <w:pPr/>
      <w:r>
        <w:t>Sehr geehrte Frau Tauber,</w:t>
      </w:r>
    </w:p>
    <w:p>
      <w:pPr/>
      <w:r>
        <w:t>bitte ordnen Sie den Posteingang und die Betriebsunterlagen der Café Abendrot GmbH. Das Verfahren 5 IN 971/26 wurde am 1. Oktober eröffnet. Das Café am Backsteg wird zunächst in reduziertem Umfang geöffnet; die Filiale im Mühlenbogen bleibt seit dem 30. September geschlossen.</w:t>
      </w:r>
    </w:p>
    <w:p>
      <w:pPr/>
      <w:r>
        <w:t>Im Tresor wurden zwanzig ungeöffnete Umschläge mit Gutscheinkarten gefunden. Zugleich fragen Kunden wegen bereits bezahlter Gutscheine an. Bitte unterscheiden Sie unverkaufte Karten, verkaufte Restguthaben und bereits eingelöste Beträge. Ein aufgedruckter Nennwert allein belegt keine Zahlung.</w:t>
      </w:r>
    </w:p>
    <w:p>
      <w:pPr/>
      <w:r>
        <w:t>Die Geschäftsführerin soll die Bestände beider Standorte getrennt bestätigen. Für die Vorbereitung möglicher Kündigungen benötigen wir die Arbeitsverträge, Eintrittsdaten und Angaben zu besonderen Schutzrechten. Es wird noch keine Kündigung versandt. Bitte halten Sie auch die nach Eröffnung beauftragten Leistungen mit ihren tatsächlichen Leistungszeiträumen fest.</w:t>
      </w:r>
    </w:p>
    <w:p>
      <w:pPr/>
      <w:r>
        <w:t>Benno Seitz</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Sachbearbeitung Café Abendrot</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