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Benno Seitz</w:t>
        <w:br/>
        <w:t>Insolvenzverwalter der Café Abendrot GmbH</w:t>
        <w:br/>
        <w:t>Kanzlei Seitz und Amsel, Ulmenbogen 4, 93049 Regensburg</w:t>
      </w:r>
    </w:p>
    <w:p>
      <w:r>
        <w:t>Mühle Brückner e.K.</w:t>
        <w:br/>
        <w:t>Alma Brückner</w:t>
        <w:br/>
        <w:t>Mahlsteg 6, 94315 Straubing</w:t>
      </w:r>
    </w:p>
    <w:p>
      <w:r>
        <w:t>12.10.2026</w:t>
      </w:r>
    </w:p>
    <w:p>
      <w:pPr>
        <w:pStyle w:val="Title"/>
      </w:pPr>
      <w:r>
        <w:t>Entwurf einer Antwort auf die Septemberrechnung</w:t>
      </w:r>
    </w:p>
    <w:p>
      <w:pPr/>
      <w:r>
        <w:t>Sehr geehrte Frau Brückner,</w:t>
      </w:r>
    </w:p>
    <w:p>
      <w:pPr/>
      <w:r>
        <w:t>Ihre Rechnung MB 26187 über 1.190,00 EUR ist eingegangen. Nach Ihren Angaben wurde der Auftrag am 21. September erteilt und die Ware am 23. September geliefert. Das Verfahren wurde am 1. Oktober eröffnet. Eine spätere Verwendung des Mehls beantwortet für sich allein noch nicht, wie Ihre Forderung zu behandeln ist.</w:t>
      </w:r>
    </w:p>
    <w:p>
      <w:pPr/>
      <w:r>
        <w:t>Bitte teilen Sie mit, ob Sie an den konkret gelieferten Beständen Rechte geltend machen und welche Vertragsunterlagen dafür maßgeblich sein sollen. Sofern Sie eine Forderung zur Tabelle anmelden möchten, senden Sie bitte eine Anmeldung mit Betrag, Grund und Belegen an die Kanzlei. Die in der Eröffnung genannte Anmeldefrist endet am 30. Oktober.</w:t>
      </w:r>
    </w:p>
    <w:p>
      <w:pPr/>
      <w:r>
        <w:t>Eine Zahlung oder Anerkennung des von Ihnen gewünschten Rangs wird mit diesem Schreiben nicht zugesagt. Ihre Unterlagen werden nach Eingang gemeinsam geprüft.</w:t>
      </w:r>
    </w:p>
    <w:p>
      <w:pPr/>
      <w:r>
        <w:t>Mit freundlichen Grüßen</w:t>
        <w:br/>
        <w:t>Benno Seitz</w:t>
      </w:r>
    </w:p>
    <w:p>
      <w:pPr/>
      <w:r>
        <w:t>Interner Stand: Entwurf zur Freigabe vom 12. Oktober, bislang nicht versandt.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Antwort auf die Septemberrechnung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