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Schuldnerberatung Nordlicht e.V.</w:t>
        <w:br/>
        <w:t>Beraterin Ottilie Gündling</w:t>
        <w:br/>
        <w:t>Schrebergasse 7</w:t>
        <w:br/>
        <w:t>90489 Nürnberg</w:t>
      </w:r>
    </w:p>
    <w:p>
      <w:r>
        <w:t>Eigene Beratungsakte</w:t>
      </w:r>
    </w:p>
    <w:p>
      <w:r>
        <w:t>2026-07-13</w:t>
      </w:r>
    </w:p>
    <w:p>
      <w:pPr>
        <w:pStyle w:val="Title"/>
      </w:pPr>
      <w:r>
        <w:t>Gesprächsvermerk zur Familie Haberlein</w:t>
      </w:r>
    </w:p>
    <w:p>
      <w:pPr/>
      <w:r>
        <w:t>Am 13. Juli 2026 waren Fridolin Haberlein, geboren am 8. April 1980, und Lale Haberlein, geboren am 17. November 1983, gemeinsam in der Beratungsstelle. Beide legen Wert darauf, dass ihre Kinder Deniz, 14 Jahre, und Jonna, zehn Jahre (im August elf), möglichst in ihren bisherigen Schulen bleiben. Fridolin arbeitet als Haustechniker, Lale in Teilzeit in einer Zahnarztpraxis. Beide waren nach eigener Erklärung nie selbstständig.</w:t>
      </w:r>
    </w:p>
    <w:p>
      <w:pPr/>
      <w:r>
        <w:t>Seit dem Ausfall mehrerer Schichten im Winter wurden Kreditraten vom gemeinsamen Haushaltskonto bezahlt, obwohl die Lebensmittel bereits über den Dispositionskredit finanziert werden mussten. Fridolin hat den Kredit für die Waschmaschine und die beiden Laptops allein unterschrieben. Der spätere Umschuldungskredit und die Hausfinanzierung tragen beide Unterschriften. Lale hat zusätzlich einen eigenen Dispositionskredit; Fridolin ist dort nicht Kontoinhaber.</w:t>
      </w:r>
    </w:p>
    <w:p>
      <w:pPr/>
      <w:r>
        <w:t>Die Familie möchte das Haus zunächst behalten. Eine sichere Finanzierungszusage für die Rückstände liegt aber nicht vor. Lale berichtet von einer mündlichen Hilfszusage ihres Bruders über 4.000 EUR; dieser hat weder einen Termin noch eine verbindliche Erklärung genannt. Die Zusage wird deshalb nicht als verfügbares Geld in die Planung aufgenommen.</w:t>
      </w:r>
    </w:p>
    <w:p>
      <w:pPr/>
      <w:r>
        <w:t>Die Beratung führt zwei persönliche Gläubigerverzeichnisse. Gemeinsame Verpflichtungen sind in beiden Verzeichnissen kenntlich zu machen, dürfen aber in einer gemeinsamen Haushaltsübersicht nicht als zwei unterschiedliche Kredite erscheinen. Vor Anträgen werden die aktuellen Salden, die Sicherheiten und der erreichbare Immobilienerlös benötigt. Für beide Personen werden gesonderte Unterlagen und Bescheinigungen vorbereitet.</w:t>
      </w:r>
    </w:p>
    <w:p>
      <w:pPr/>
      <w:r>
        <w:t>Ottilie Gündling</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Gesprächsvermerk zur Familie Haberlein</dc:title>
  <dc:subject/>
  <dc:creator>Klotzkette</dc:creator>
  <cp:keywords/>
  <dc:description>generated by python-docx</dc:description>
  <cp:lastModifiedBy>Klotzkette</cp:lastModifiedBy>
  <cp:revision>1</cp:revision>
  <dcterms:created xsi:type="dcterms:W3CDTF">2026-10-21T08:00:00Z</dcterms:created>
  <dcterms:modified xsi:type="dcterms:W3CDTF">2026-10-21T08:00:00Z</dcterms:modified>
  <cp:category/>
  <dc:language>de-DE</dc:language>
</cp:coreProperties>
</file>