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Kanzlei Walburga Fürst | Berliner Straße 91 | 13189 Berlin</w:t>
        <w:br/>
        <w:t>post@fuerst-recht.example | Zeichen: WF 216/26</w:t>
      </w:r>
    </w:p>
    <w:p>
      <w:r>
        <w:t>An das Landgericht Berlin II</w:t>
        <w:br/>
        <w:t>Littenstraße 12–17, 10179 Berlin</w:t>
        <w:br/>
        <w:t>Per besonderem elektronischen Anwaltspostfach</w:t>
      </w:r>
    </w:p>
    <w:p>
      <w:pPr>
        <w:pStyle w:val="Title"/>
      </w:pPr>
      <w:r>
        <w:t>Klage</w:t>
      </w:r>
    </w:p>
    <w:p>
      <w:r>
        <w:t>22.09.2026</w:t>
      </w:r>
    </w:p>
    <w:p>
      <w:r>
        <w:t>In dem Rechtsstreit des Herrn Gottfried Seidel, Florastraße 78, 13187 Berlin,</w:t>
        <w:br/>
        <w:t>Kläger,</w:t>
        <w:br/>
        <w:t>Prozessbevollmächtigte: Rechtsanwältin Walburga Fürst, Kanzlei Fürst, Berliner Straße 91, 13189 Berlin,</w:t>
        <w:br/>
        <w:t>gegen die Spreebogen Lichtwerk GmbH, Mühlenstraße 64, 13187 Berlin, eingetragen beim Amtsgericht Charlottenburg unter HRB 241806 B, vertreten durch die einzelvertretungsberechtigte Geschäftsführerin Kunigunde Rabenstein,</w:t>
        <w:br/>
        <w:t>Beklagte,</w:t>
        <w:br/>
        <w:t>wegen Anfechtung eines Abberufungsbeschlusses,</w:t>
        <w:br/>
        <w:t>vorläufiger Streitwert: 25000 EUR,</w:t>
        <w:br/>
        <w:t>erheben wir namens und in Vollmacht des Klägers Klage.</w:t>
      </w:r>
    </w:p>
    <w:p>
      <w:pPr>
        <w:pStyle w:val="Heading1"/>
      </w:pPr>
      <w:r>
        <w:t>1. Anträge</w:t>
      </w:r>
    </w:p>
    <w:p>
      <w:r>
        <w:t>1.1. Der in der Gesellschafterversammlung der Spreebogen Lichtwerk GmbH vom 9. September 2026 unter dem zweiten Tagesordnungspunkt, bezeichnet in Ziffer 1.2 der Einladung vom 26. August 2026, als angenommen festgestellte Beschluss mit dem Wortlaut „Herr Gottfried Seidel wird aus wichtigem Grund mit sofortiger Wirkung als Geschäftsführer der Spreebogen Lichtwerk GmbH abberufen“ wird für nichtig erklärt.</w:t>
      </w:r>
    </w:p>
    <w:p>
      <w:r>
        <w:t>1.2. Hilfsweise, für den Fall, dass das Gericht eine durch Anfechtungsurteil zu beseitigende Beschlusswirkung verneint, wird festgestellt, dass durch die unter Ziffer 1.1 bezeichnete Beschlussfassung eine wirksame Abberufung des Klägers als Geschäftsführer der Beklagten nicht zustande gekommen ist.</w:t>
      </w:r>
    </w:p>
    <w:p>
      <w:r>
        <w:t>1.3. Die Beklagte trägt die Kosten des Rechtsstreits.</w:t>
      </w:r>
    </w:p>
    <w:p>
      <w:r>
        <w:t>Es wird die Anordnung des schriftlichen Vorverfahrens angeregt. Für den Fall, dass die Beklagte ihre Verteidigungsbereitschaft nicht rechtzeitig anzeigt, wird der Erlass eines Versäumnisurteils nach Paragraf 331 Absatz 3 ZPO beantragt, soweit dessen Voraussetzungen vorliegen. Der Kläger begehrt ausschließlich die Klärung seiner Organstellung aufgrund des bezeichneten Beschlusses. Vergütung, Beendigung seines Anstellungsvertrags, Zahlungsansprüche aus dem Einkauf und Veränderungen seiner Beteiligung sind nicht Gegenstand dieser Klage.</w:t>
      </w:r>
    </w:p>
    <w:p>
      <w:pPr>
        <w:pStyle w:val="Heading1"/>
      </w:pPr>
      <w:r>
        <w:t>2. Gesellschaftsverhältnisse und Maßstab der Geschäftsführung</w:t>
      </w:r>
    </w:p>
    <w:p>
      <w:pPr>
        <w:pStyle w:val="Heading1"/>
      </w:pPr>
      <w:r>
        <w:t>2.1. Beteiligungen und Organstellung</w:t>
      </w:r>
    </w:p>
    <w:p>
      <w:r>
        <w:t>Die Beklagte plant, montiert und wartet Beleuchtungs- und Steuerungstechnik für Bühnen und Veranstaltungsräume. Der Kläger hat den Betrieb 2019 gemeinsam mit Frau Rabenstein aufgebaut. Das Stammkapital beträgt 25000 EUR. Frau Rabenstein hält den Geschäftsanteil Nr. 1 über 10000 EUR, der Kläger den Geschäftsanteil Nr. 2 über 8750 EUR und Frau Heller den Geschäftsanteil Nr. 3 über 6250 EUR. Das entspricht 40, 35 und 25 Prozent. Eine Veränderung dieser Beteiligungen ist nicht erfolgt.</w:t>
      </w:r>
    </w:p>
    <w:p>
      <w:r>
        <w:t>Der Kläger und Frau Rabenstein wurden in Ziffer 3.2 des Gesellschaftsvertrags zu Geschäftsführern bestellt und jeweils zur Einzelvertretung ermächtigt. Eine Befreiung von Paragraf 181 BGB wurde ihnen nicht erteilt. Der Registerausdruck vom 21. September 2026 führt beide weiterhin als Geschäftsführer. Der Kläger stützt seine Klage allerdings nicht allein auf diesen Registerstand, sondern auf die Unwirksamkeit der gegen ihn beschlossenen Maßnahme.</w:t>
      </w:r>
    </w:p>
    <w:p>
      <w:r>
        <w:t>Beweis: Gesellschaftsvertrag vom 18. Juni 2019, Anlage K1; Gesellschafterliste, Anlage K2; aktueller Registerausdruck vom 21. September 2026, Anlage K3.</w:t>
      </w:r>
    </w:p>
    <w:p>
      <w:pPr>
        <w:pStyle w:val="Heading1"/>
      </w:pPr>
      <w:r>
        <w:t>2.2. Zustimmungsvorbehalte und Abberufungsschutz</w:t>
      </w:r>
    </w:p>
    <w:p>
      <w:r>
        <w:t>Der Kläger verantwortete Technik, Materialeinkauf und Baustellenkoordination; Frau Rabenstein betreute Vertrieb und Personal. Ziffer 3.3 des Gesellschaftsvertrags verlangt vor Geschäften mit Gesellschaftern oder ihren beherrschten Unternehmen die Zustimmung der Gesellschafterversammlung. Hinzu kommt die von sämtlichen Gesellschaftern am 10. Januar 2025 beschlossene Geschäftsordnung. Danach sind Einzelbestellungen über 10000 EUR brutto vor Beauftragung dem jeweils anderen Geschäftsführer mit Leistungsumfang, Preis, Liefertermin und Vergleichsangebot vorzulegen. Die Zustimmung ist in Textform zu sichern. Auch die Zahlung setzt eine entsprechende Freigabe voraus.</w:t>
      </w:r>
    </w:p>
    <w:p>
      <w:r>
        <w:t>Der Kläger stellt diese Regelungen nicht in Abrede. Die technische Einzelberechtigung im Bankportal ersetzte keine interne Zustimmung. Auch war ein drohender Kundenterminverlust nach der Geschäftsordnung keine allgemeine Ausnahme. Streit besteht darüber, ob die konkrete Handhabung und die anschließend unvollständige Dokumentation unter Berücksichtigung der gesamten Umstände eine sofortige Abberufung rechtfertigten.</w:t>
      </w:r>
    </w:p>
    <w:p>
      <w:r>
        <w:t>Ziffer 5.3 des Gesellschaftsvertrags lässt die Abberufung ausschließlich bei einem wichtigen Grund zu. Organstellung und Anstellungsvertrag sind ausdrücklich getrennt. Eine Kündigung des Anstellungsvertrags wurde am 9. September nicht beschlossen. Die Gesellschaft hat sich damit bewusst gegen die jederzeitige freie Abberufbarkeit entschieden.</w:t>
      </w:r>
    </w:p>
    <w:p>
      <w:r>
        <w:t>Beweis: Anlage K1, Ziffern 3.2, 3.3, 5.1 und 5.3; Geschäftsordnung vom 10. Januar 2025, bei der Beklagten in der Datei 09_Geschaeftsordnung.docx und als unterschriebene Ausfertigung im Ordner „Gesellschaft / 2025“ vorhanden. Deren Vorlage wird nach Paragraf 142 Absatz 1 ZPO angeregt.</w:t>
      </w:r>
    </w:p>
    <w:p>
      <w:pPr>
        <w:pStyle w:val="Heading1"/>
      </w:pPr>
      <w:r>
        <w:t>3. Der Einkauf für das Kulturhaus Lindenhof</w:t>
      </w:r>
    </w:p>
    <w:p>
      <w:pPr>
        <w:pStyle w:val="Heading1"/>
      </w:pPr>
      <w:r>
        <w:t>3.1. Ausfall des Lieferanten und Nachrichten vom 19. August</w:t>
      </w:r>
    </w:p>
    <w:p>
      <w:r>
        <w:t>Im August 2026 musste die Beklagte die Bühnensteuerung des Kulturhauses Lindenhof für dessen Wiedereröffnung fertigstellen. Der ursprünglich vorgesehene Lieferant konnte den Termin nicht einhalten. Der Kläger schlug deshalb vor, über seine Einzelfirma Seidel Bühnenservice e.K. sechs gebrauchte Steuergeräte zu beschaffen beziehungsweise aufzuarbeiten und Einbauhilfe zu leisten. Er teilte Frau Rabenstein am 19. August um 07:46 Uhr mit, dass die erste Kalkulation 14900 EUR brutto betrage und möglicherweise ein Expresszuschlag hinzukomme. Die Einschaltung seines eigenen Unternehmens wurde damit vor Durchführung offengelegt.</w:t>
      </w:r>
    </w:p>
    <w:p>
      <w:r>
        <w:t>Frau Rabenstein antwortete um 08:04 Uhr: „Dann mach das, aber ich brauche die endgültige Zahl. Nichts ohne den Preisabgleich. Schick mir das andere Angebot und frag Ottilie wegen der Gesellschafterfreigabe.“ Der Kläger antwortete um 08:07 Uhr, er sei schon unterwegs und liefere nach. Diese vollständige Nachricht ist zugrunde zu legen. Der Kläger beruft sich nicht auf eine verkürzte, vorbehaltlose schriftliche Genehmigung des endgültigen Preises. Er verstand die Antwort jedoch als Einverständnis mit der Ersatzbeschaffung als solcher und nahm irrig an, die erforderliche Dokumentation und Gegenzeichnung nachreichen zu können.</w:t>
      </w:r>
    </w:p>
    <w:p>
      <w:r>
        <w:t>Beweis: Nachrichtenverlauf vom 19. bis 21. August 2026, Anlage K7; ergänzend persönliche Anhörung des Klägers. Eine weitere, endgültige telefonische Preisfreigabe wird mit dieser Klage nicht behauptet.</w:t>
      </w:r>
    </w:p>
    <w:p>
      <w:pPr>
        <w:pStyle w:val="Heading1"/>
      </w:pPr>
      <w:r>
        <w:t>3.2. Rechnung und Zahlung</w:t>
      </w:r>
    </w:p>
    <w:p>
      <w:r>
        <w:t>Die Rechnung SBS-2026-084 vom 20. August 2026 weist sechs überholte Steuergeräte zu jeweils 1950 EUR netto, zusammen 11700 EUR, Kabelsatz und Sonderstecker für 1900 EUR, Transport und Einbauunterstützung für 1000 EUR sowie Expressbeschaffung und Zusatzarbeit für 862,18 EUR aus. Die Nettosumme beträgt 15462,18 EUR, die Umsatzsteuer 2937,82 EUR und der Endbetrag 18400 EUR. Der Kläger übersandte die Rechnung an die Buchhaltung und teilte Frau Rabenstein am 20. August um 18:44 Uhr den Endbetrag mit. Dabei erklärte er, zwei Geräte habe er andernorts beschaffen müssen.</w:t>
      </w:r>
    </w:p>
    <w:p>
      <w:r>
        <w:t>Am 21. August veranlasste der Kläger die Überweisung an seine Einzelfirma. Das Beanstandungsschreiben nennt hierfür 07:43 Uhr. Frau Rabenstein hatte im Nachrichtenkanal um 07:31 Uhr verlangt, vor der gemeinsamen Durchsicht noch nicht zu zahlen. Der Kläger hat diese Nachricht nach seiner Erinnerung erst nach Ausführung der Überweisung gelesen. Er bestreitet deshalb, eine bereits gelesene konkrete Zahlungsuntersagung bewusst übergangen zu haben. Die zeitliche Reihenfolge von Nachricht und Bankauftrag beweist für sich noch nicht den Zeitpunkt seiner Kenntnisnahme.</w:t>
      </w:r>
    </w:p>
    <w:p>
      <w:r>
        <w:t>Der Kläger hatte keinen förmlichen Gesellschafterbeschluss eingeholt. Er erteilte den Auftrag an seine Einzelfirma selbst. Die ursprüngliche Zahl von 14900 EUR war vorläufig; gegenüber dem Rechnungsbetrag besteht eine Differenz von 3500 EUR brutto. Der Kläger führte diese auf zusätzliche Arbeit und kurzfristigen Zukauf zurück. Er benennt vier zusätzliche Arbeitsstunden, verfügt aber derzeit über keine geschlossene, zeitgleich erstellte Überleitung des gesamten Mehrbetrags. Die Klage behauptet deshalb weder einen durchgängigen Rechnungsnachweis noch einen von allen Gesellschaftern genehmigten Endpreis.</w:t>
      </w:r>
    </w:p>
    <w:p>
      <w:r>
        <w:t>Beweis: Rechnung, Anlage K6; vollständiger Nachrichtenverlauf, Anlage K7; Beanstandung, Anlage K8; Antwort des Klägers, Anlage K9. Zur ausgeführten Zahlung wird ergänzend die Vorlage der bezeichneten Buchung SBS-2026-084 vom 21. August 2026 im Bankprotokoll der Beklagten nach Paragraf 142 Absatz 1 ZPO angeregt.</w:t>
      </w:r>
    </w:p>
    <w:p>
      <w:pPr>
        <w:pStyle w:val="Heading1"/>
      </w:pPr>
      <w:r>
        <w:t>3.3. Lieferumfang und verbleibende Nachweise</w:t>
      </w:r>
    </w:p>
    <w:p>
      <w:r>
        <w:t>Der Kläger trägt vor, dass die abgerechneten Geräte und Materialien dem Lindenhof-Auftrag zugutekamen. Vier Geräte lieferte er am 24. August zur Werkstatt der Beklagten. Zwei weitere Geräte brachte er nach seiner Darstellung bereits am Samstag, dem 22. August, unmittelbar zur Bühne. Hierfür erhielt er keinen unterschriebenen Lieferschein. Seine Fotos zeigen Verpackungen, keine lesbaren Seriennummern. Der Werkstattbeleg über vier Geräte wird deshalb nicht als Beleg für die zusätzliche Direktlieferung ausgegeben.</w:t>
      </w:r>
    </w:p>
    <w:p>
      <w:r>
        <w:t>Beweis für die Annahme der vier Geräte in der Werkstatt: Zeugnis des Werkstattleiters Tassilo Brandt, zu laden über die Beklagte, Mühlenstraße 64, 13187 Berlin; Wareneingang WE-0824 vom 24. August 2026, dessen Vorlage aus dem Besitz der Beklagten angeregt wird. Hinsichtlich der unmittelbaren Lieferung am 22. August wird die Vernehmung des Klägers als Partei mit Zustimmung der Beklagten nach Paragraf 447 ZPO angeboten; andernfalls wird seine persönliche Anhörung angeregt. Herr Brandt wird nicht als Augenzeuge einer Lieferung auf der Baustelle benannt, bei der er nicht anwesend war.</w:t>
      </w:r>
    </w:p>
    <w:p>
      <w:r>
        <w:t>Der Auftrag wurde fertiggestellt und vom Kunden bezahlt. Das begründet nach Auffassung des Klägers ein erhebliches Indiz für einen wirtschaftlich nutzbaren Leistungseinsatz. Es ersetzt aber weder die Zuordnung jedes abgerechneten Geräts noch eine Prüfung des Preises. Der Kläger beantragt, die Beklagte zur Erklärung über die Fertigstellung und den Zahlungseingang aufzufordern. Die Behauptung einer vollständigen Lieferung bleibt insoweit beweisbedürftig, als sie über den Werkstattbeleg hinausgeht.</w:t>
      </w:r>
    </w:p>
    <w:p>
      <w:pPr>
        <w:pStyle w:val="Heading1"/>
      </w:pPr>
      <w:r>
        <w:t>4. Beanstandung und Gesellschafterversammlung</w:t>
      </w:r>
    </w:p>
    <w:p>
      <w:pPr>
        <w:pStyle w:val="Heading1"/>
      </w:pPr>
      <w:r>
        <w:t>4.1. Aufklärungsbemühungen vor dem Beschluss</w:t>
      </w:r>
    </w:p>
    <w:p>
      <w:r>
        <w:t>Am 24. August erläuterte der Kläger Frau Rabenstein im Büro die Zahlung und den aus seiner Sicht erforderlichen kurzfristigen Einkauf. Für den Gesprächsinhalt aus eigener Wahrnehmung wird seine Parteivernehmung nach Paragraf 447 ZPO mit Zustimmung der Beklagten, hilfsweise seine persönliche Anhörung, angeboten. Der Kläger verfügt über keine vollständige Gesprächsaufzeichnung.</w:t>
      </w:r>
    </w:p>
    <w:p>
      <w:r>
        <w:t>Am 27. August übergab Frau Rabenstein ihm die schriftliche Beanstandung. Verlangt wurden bis zum 31. August der Bestellvorgang, Fremdrechnungen und Angaben zum Verbleib der sechs Geräte. Sie verwies auf die fehlende Gesellschafterzustimmung und den Preisvergleich. Die angebliche Äußerung, die Buchhaltung solle sich nicht in die Technik einmischen, wird bestritten, soweit daraus eine dauerhafte Verweigerung jeder Rechnungskontrolle abgeleitet wird.</w:t>
      </w:r>
    </w:p>
    <w:p>
      <w:r>
        <w:t>Der Kläger antwortete am 31. August schriftlich. Er räumte ein, keinen förmlichen Beschluss eingeholt zu haben, erläuterte die behauptete Direktlieferung und bot eine gemeinsame Kalkulationsdurchsicht sowie gegebenenfalls eine Gutschrift für eine nicht belegbare Position an. Eine Rückzahlung des Gesamtbetrags oder ein Schuldeingeständnis lehnte er ab. Die in Aussicht gestellte vollständige Belegaufbereitung war bis zur Versammlung nicht abgeschlossen. Sein Angebot zur sachlichen Prüfung blieb bestehen; eine gemeinsame vollständige Belegdurchsicht fand zuvor nicht statt.</w:t>
      </w:r>
    </w:p>
    <w:p>
      <w:r>
        <w:t>Beweis: Beanstandung vom 27. August, Anlage K8; Antwort vom 31. August, Anlage K9; zur noch offenen Dokumentation und den Erklärungen in der Versammlung Anlage K5.</w:t>
      </w:r>
    </w:p>
    <w:p>
      <w:pPr>
        <w:pStyle w:val="Heading1"/>
      </w:pPr>
      <w:r>
        <w:t>4.2. Einladung, Aussprache und Abstimmung</w:t>
      </w:r>
    </w:p>
    <w:p>
      <w:r>
        <w:t>Die Einladung vom 26. August ging dem Kläger am 28. August per Einschreiben zu. Sie benannte die Eigenbeauftragung, die Zahlung von 18400 EUR ohne vorherigen Gesellschafterbeschluss und die Missachtung der Geschäftsordnung. Der Kläger macht keinen allein aus diesen Daten hergeleiteten Einladungsfristverstoß geltend. Sämtliche Gesellschafter erschienen am 9. September; das gesamte Stammkapital war vertreten. Frau Heller wurde mit allen 25000 Stimmen zur Versammlungsleiterin gewählt.</w:t>
      </w:r>
    </w:p>
    <w:p>
      <w:r>
        <w:t>Frau Rabenstein hielt dem Kläger die fehlenden Freigaben und Nachweise vor. Er verwies auf den Zeitdruck, seine Auslegung der Nachricht und die noch zu vervollständigenden Unterlagen. Frau Heller erklärte, sie könne über die vier im Werkstattbeleg erfassten Geräte hinaus den Lieferumfang und die Montagezeiten nicht beurteilen. Der Kläger widersprach der Forderung nach einer Rückzahlungserklärung. Über eine solche Erklärung wurde nicht abgestimmt.</w:t>
      </w:r>
    </w:p>
    <w:p>
      <w:r>
        <w:t>Für die Abberufung stimmte Frau Rabenstein mit 10000 Stimmen. Der Kläger stimmte mit 8750 Stimmen dagegen. Frau Heller enthielt sich mit 6250 Stimmen. Sie zählte die Nein-Stimmen des Klägers wegen seiner Betroffenheit nicht und stellte die Annahme des Abberufungsantrags fest. Der Kläger widersprach ausdrücklich dem Stimmrechtsausschluss, der Feststellung und der Abberufung. Die Niederschrift ging ihm am 11. September zu. Über eine Kündigung des Anstellungsvertrags oder Schadensersatz wurde nicht beschlossen.</w:t>
      </w:r>
    </w:p>
    <w:p>
      <w:r>
        <w:t>Beweis: Einladung, Anlage K4; Niederschrift, Anlage K5; Zeugnis der Ottilie Heller, zu laden über die Beklagte. Ihre Vernehmung wird für Wahl, Abstimmung, Ergebnisfeststellung und Widerspruch sowie die von ihr selbst abgegebenen Erklärungen angeboten, nicht für ihr unbekannte Lieferhandlungen. Die Urkundenvorlage bedeutet keine Anerkennung sämtlicher zusammengefasster Wertungen im Protokoll.</w:t>
      </w:r>
    </w:p>
    <w:p>
      <w:pPr>
        <w:pStyle w:val="Heading1"/>
      </w:pPr>
      <w:r>
        <w:t>5. Zulässigkeit und Umfang des Rechtsschutzes</w:t>
      </w:r>
    </w:p>
    <w:p>
      <w:pPr>
        <w:pStyle w:val="Heading1"/>
      </w:pPr>
      <w:r>
        <w:t>5.1. Zuständigkeit, Parteien und Klagefrist</w:t>
      </w:r>
    </w:p>
    <w:p>
      <w:r>
        <w:t>Das Landgericht Berlin II ist bei dem vorläufig mit 25000 EUR bewerteten Interesse nach Paragraf 71 Absatz 1 GVG sachlich und wegen des Sitzes der Beklagten nach Paragraf 17 Absatz 1 ZPO örtlich zuständig. Der Streitwert berücksichtigt die Bedeutung der bestrittenen Organstellung; er ist nicht mit dem Rechnungsbetrag gleichzusetzen. Der Kläger ist als unverändert beteiligter Gesellschafter zur Anfechtung des ihn betreffenden Beschlusses befugt. Beklagte ist nach Ziffer 8.1 der Satzung die Gesellschaft. Im Rubrum ist ihre weitere einzelvertretungsberechtigte Geschäftsführerin bezeichnet. Die Zuständigkeit der Gesellschafter für die Prozessvertretung nach Paragraf 46 Nummer 8 GmbHG bleibt hiervon unberührt.</w:t>
      </w:r>
    </w:p>
    <w:p>
      <w:r>
        <w:t>Ziffer 8.1 der Satzung bestimmt eine Monatsfrist. Weil der Kläger an der Versammlung teilnahm und das Ergebnis ausdrücklich festgestellt wurde, ist für ihn bereits der 9. September maßgeblich; der Zugang der Niederschrift am 11. September verschiebt den Beginn nicht. Die Klage wird am 22. September und damit vor Ablauf am 9. Oktober 2026 eingereicht. Es wird um unverzügliche Zustellung gebeten. Der Gerichtskostenvorschuss wird nach Eingang der Kostenanforderung unverzüglich gezahlt; für eine demnächst erfolgende Zustellung wird auf Paragraf 167 ZPO verwiesen.</w:t>
      </w:r>
    </w:p>
    <w:p>
      <w:pPr>
        <w:pStyle w:val="Heading1"/>
      </w:pPr>
      <w:r>
        <w:t>5.2. Beschlussfeststellung und Hilfsantrag</w:t>
      </w:r>
    </w:p>
    <w:p>
      <w:r>
        <w:t>Die Klage richtet sich vorrangig auf die Beseitigung des ausdrücklich festgestellten Beschlusses. Ziffer 4.3 der Satzung ermächtigt die gewählte Versammlungsleiterin zur Feststellung von Ergebnis und Annahme. Der Kläger bestreitet deshalb nicht allein wegen der fehlenden anwaltlichen Begleitung ihre Feststellungskompetenz. Die gerichtliche Kontrolle der materiellen Voraussetzungen wird durch diese Kompetenz jedoch nicht ausgeschlossen.</w:t>
      </w:r>
    </w:p>
    <w:p>
      <w:r>
        <w:t>Der Hilfsantrag erfasst ausschließlich den Fall, dass das Gericht eine durch Anfechtung zu beseitigende Wirkung der bezeichneten Feststellung verneint. Das Feststellungsinteresse nach Paragraf 256 Absatz 1 ZPO ergibt sich daraus, dass die Beklagte die Organstellung als beendet behandelt und die Registeranmeldung angekündigt hat. Die konkrete Rechtsunsicherheit besteht bereits jetzt. Beantragt wird weder eine neue Bestellung noch eine Feststellung über unbekannte künftige Beschlüsse. Ein gesonderter Zahlungs- oder Beschäftigungsantrag wird nicht erhoben.</w:t>
      </w:r>
    </w:p>
    <w:p>
      <w:pPr>
        <w:pStyle w:val="Heading1"/>
      </w:pPr>
      <w:r>
        <w:t>6. Begründetheit</w:t>
      </w:r>
    </w:p>
    <w:p>
      <w:pPr>
        <w:pStyle w:val="Heading1"/>
      </w:pPr>
      <w:r>
        <w:t>6.1. Maßgeblich ist ein tatsächlich bestehender wichtiger Grund</w:t>
      </w:r>
    </w:p>
    <w:p>
      <w:r>
        <w:t>Der Beschluss verletzt Ziffer 5.3 der Satzung in Verbindung mit Paragraf 38 Absatz 2 GmbHG. Die Satzung bindet die Abberufung an einen wichtigen Grund. Die Gesellschaftermehrheit durfte diese Voraussetzung weder durch die Bezeichnung des Antrags noch durch die Nichtberücksichtigung der Klägerstimmen ersetzen.</w:t>
      </w:r>
    </w:p>
    <w:p>
      <w:r>
        <w:t>Nach BGH, Urteil vom 04.04.2017 – Az. II ZR 77/16, amtlicher Volltext, ECLI:DE:BGH:2017:040417UIIZR77.16.0, Randnummern 9 und 14, ist im Beschlussprozess entscheidend, ob bei Beschlussfassung objektiv ein wichtiger Grund bestand. Wer sich darauf beruft, trägt die Darlegungs- und Beweislast. Hier betrifft dies die Beklagte. Randnummer 17 verlangt für die Unzumutbarkeit weiterer Geschäftsführung eine Abwägung sämtlicher Umstände. Die Entscheidung rechtfertigt damit weder eine automatische Abberufung bei jeder internen Pflichtverletzung noch deren generelle Unwirksamkeit bei fehlendem Vermögensschaden.</w:t>
      </w:r>
    </w:p>
    <w:p>
      <w:pPr>
        <w:pStyle w:val="Heading1"/>
      </w:pPr>
      <w:r>
        <w:t>6.2. Eigenbeauftragung und fehlende Freigaben</w:t>
      </w:r>
    </w:p>
    <w:p>
      <w:r>
        <w:t>Die fehlende Gesellschafterzustimmung ist ein ernstzunehmender Vorwurf. Nach Paragraf 37 Absatz 1 GmbHG hatte der Kläger interne Beschränkungen zu beachten. Sein Aufgabenbereich Technik und die Einzelvertretung entbanden ihn davon nicht. Ebenso wenig ersetzte Frau Rabensteins Nachricht einen Gesellschafterbeschluss. Der Kläger stützt seine Verteidigung gegen die Abberufung deshalb auf die konkrete Schwere des Vorgangs und dessen beherrschbare Folgen, nicht auf eine Aufhebung der Satzungsregel durch Zeitdruck.</w:t>
      </w:r>
    </w:p>
    <w:p>
      <w:r>
        <w:t>Auch Paragraf 181 BGB ist zu berücksichtigen: Der Kläger handelte nach eigener Darstellung auf beiden Seiten des Geschäfts und besaß keine allgemeine Befreiung. Eine wirksame besondere Gestattung oder spätere Genehmigung wird nicht als bereits bewiesen vorgetragen. Aus der möglichen Unwirksamkeit des Liefergeschäfts folgt jedoch nicht ohne weitere Würdigung die Unzumutbarkeit seiner weiteren Organstellung. Rechtsgeschäftliche Wirksamkeit, interne Pflichtverletzung und Abberufungsgrund sind jeweils gesondert zu beurteilen.</w:t>
      </w:r>
    </w:p>
    <w:p>
      <w:r>
        <w:t>Gegen eine gezielte Schädigung sprechen die Offenlegung der eigenen Firma bereits vor der Beschaffung, die Mitteilung des Endbetrags vor Zahlung und das nachfolgende Angebot einer überprüfbaren Abrechnung. Ein bewusstes Zuwiderhandeln gegen eine gelesene Zahlungsuntersagung wird bestritten. Die Beklagte muss insbesondere zwischen dem sicheren Fehlen formeller Freigaben und dem weitergehenden Vorwurf absichtlicher Missachtung einer konkreten Nachricht unterscheiden.</w:t>
      </w:r>
    </w:p>
    <w:p>
      <w:pPr>
        <w:pStyle w:val="Heading1"/>
      </w:pPr>
      <w:r>
        <w:t>6.3. Lieferstreit und Interessenabwägung</w:t>
      </w:r>
    </w:p>
    <w:p>
      <w:r>
        <w:t>Aus dem Werkstattbeleg über vier Geräte folgt nicht zwingend, dass zwei weitere Geräte niemals auf die Baustelle gelangten. Umgekehrt beweist die Fertigstellung des Kundenauftrags nicht die vollständige Erfüllung der Rechnung der Einzelfirma. Die noch offene Gerätezuordnung und Kalkulation verlangen Aufklärung. Ein vorsätzliches Abrechnen nicht erbrachter Leistungen ist mit den vorgelegten Unterlagen nicht belegt. Der Kläger hält an seiner Darstellung fest und stellt sich der Beweisaufnahme.</w:t>
      </w:r>
    </w:p>
    <w:p>
      <w:r>
        <w:t>Die Abwägung muss zugleich den Betrag von 18400 EUR, die Nähe zum eigenen wirtschaftlichen Interesse und die verspäteten Belege berücksichtigen. Auf Klägerseite stehen seine seit Gründung ausgeübte technische Leitung, seine Kenntnisse der Installationen, der tatsächlich fertiggestellte Auftrag und das Angebot, unbelegte Positionen zu korrigieren. Ein bezifferter Schaden ist bislang nicht dargelegt. Das allein entscheidet den Prozess nicht, mindert aber das Gewicht eines Vorwurfs, der die Zahlung ohne Bewertung der Gegenleistung als vollständigen Vermögensverlust behandelt.</w:t>
      </w:r>
    </w:p>
    <w:p>
      <w:r>
        <w:t>Am 9. September waren nach Auffassung des Klägers weniger einschneidende Kontrollen ausreichend: Belegprüfung mit verbindlicher Nachfrist, Ausschluss eigenständiger Freigabe von Zahlungen an die Einzelfirma und gemeinsame Zahlungsfreigaben. Dies sind keine bereits beschlossenen Maßnahmen, sondern naheliegende Alternativen, deren Eignung bei der Abwägung zu prüfen war. Der Kläger hatte Aufklärung und gegebenenfalls Gutschrift angeboten. Seine Weigerung, den gesamten Rechnungsbetrag ohne Prüfung zurückzuzahlen, durfte nicht für sich als Verweigerung jeder Zusammenarbeit gewertet werden.</w:t>
      </w:r>
    </w:p>
    <w:p>
      <w:r>
        <w:t>Der Kläger behauptet nicht, vor jeder Abberufung müsse zwingend eine Abmahnung erfolgen. Hier hätte aber erläutert werden müssen, weshalb kontrollierte Fortführung trotz des Aufklärungsangebots unzumutbar war. Konkret belegte frühere gleichartige Verstöße sind in Einladung und Niederschrift nicht aufgeführt. Ein pauschaler Hinweis auf verlorenes Vertrauen ersetzt diese Begründung nicht. Die Gesamtabwägung rechtfertigt deshalb nach Auffassung des Klägers die sofortige Organabberufung nicht.</w:t>
      </w:r>
    </w:p>
    <w:p>
      <w:pPr>
        <w:pStyle w:val="Heading1"/>
      </w:pPr>
      <w:r>
        <w:t>6.4. Stimmverbot und rechnerische Mehrheit</w:t>
      </w:r>
    </w:p>
    <w:p>
      <w:r>
        <w:t>Paragraf 47 Absatz 4 GmbHG und die Grundsätze zum Verbot, über die Missbilligung eigenen Verhaltens selbst zu entscheiden, sind zu beachten. BGH, Urteil vom 04.04.2017 – Az. II ZR 77/16, amtlicher Volltext, ECLI:DE:BGH:2017:040417UIIZR77.16.0, Randnummern 10 bis 15, unterscheidet zwischen der gewöhnlichen Abberufung und der Abberufung aus wichtigem Grund. Den Streit über die Voraussetzungen eines schon vom Versammlungsleiter anzuwendenden Stimmverbots entscheidet das Urteil nicht abschließend; die gerichtliche Sachprüfung bleibt erforderlich.</w:t>
      </w:r>
    </w:p>
    <w:p>
      <w:r>
        <w:t>Der Kläger verkennt zudem nicht die Stimmenverhältnisse: Auch unter Einbeziehung seiner 8750 Nein-Stimmen stehen 10000 Ja-Stimmen gegenüber. Die 6250 Enthaltungsstimmen zählen nach Ziffer 4.2 der Satzung nicht als abgegeben. Der Antrag hätte mithin rechnerisch auch ohne seinen Ausschluss eine einfache Mehrheit erreicht. Die Klage wird nicht auf eine gegenteilige Berechnung gestützt. Ihr tragender Grund bleibt das Fehlen der besonderen materiellen Abberufungsvoraussetzung. Eine Stimmenmehrheit gestattet keine Abweichung von Ziffer 5.3 der Satzung.</w:t>
      </w:r>
    </w:p>
    <w:p>
      <w:pPr>
        <w:pStyle w:val="Heading1"/>
      </w:pPr>
      <w:r>
        <w:t>7. Beweisaufnahme und Anlagen</w:t>
      </w:r>
    </w:p>
    <w:p>
      <w:r>
        <w:t>Die vorgelegten Unterlagen belegen Erklärungen und Abläufe; sie nehmen die Würdigung streitiger Lieferungen oder innerer Vorstellungen nicht vorweg. Angeregt wird die Vorlage der konkret bezeichneten Geschäftsordnung, des Wareneingangs WE-0824 und der Zahlungsbuchung SBS-2026-084 durch die Beklagte. Soweit die Vollständigkeit von K7 bestritten wird, soll außerdem der betriebliche Kanal „Lindenhof Einkauf“ für den 19. bis 21. August 2026 vorgelegt werden. Begehrt wird keine allgemeine Durchsuchung der Geschäftsunterlagen. Der Kläger hat derzeit keinen eigenen Zugang zur Einkaufsablage und benötigt die bezeichneten Belege für den Abgleich.</w:t>
      </w:r>
    </w:p>
    <w:p>
      <w:r>
        <w:t>Der Klage sind folgende neun Anlagen als gesonderte Dateien beigefügt:</w:t>
      </w:r>
    </w:p>
    <w:p>
      <w:r>
        <w:t>7.1. Anlage K1 ist der Gesellschaftsvertrag vom 18. Juni 2019 in der Datei 05_Gesellschaftsvertrag_K1.docx.</w:t>
      </w:r>
    </w:p>
    <w:p>
      <w:r>
        <w:t>7.2. Anlage K2 ist die Gesellschafterliste vom 18. Juni 2019 mit Ablageabgleich vom 21. September 2026 in der Datei 06a_Gesellschafterliste_K2.docx.</w:t>
      </w:r>
    </w:p>
    <w:p>
      <w:r>
        <w:t>7.3. Anlage K3 ist der Registerausdruck vom 21. September 2026 in der Datei 06b_Registerabruf_K3.pdf.</w:t>
      </w:r>
    </w:p>
    <w:p>
      <w:r>
        <w:t>7.4. Anlage K4 ist die Einladung vom 26. August 2026 mit Einlieferungs- und Zustellangaben in der Datei 07_Einladung_K4.docx. Die beigefügte Rechnung wird zugleich gesondert als K6 vorgelegt.</w:t>
      </w:r>
    </w:p>
    <w:p>
      <w:r>
        <w:t>7.5. Anlage K5 ist die Niederschrift der Versammlung vom 9. September 2026, erstellt am 10. September und versandt am 11. September, in der Datei 08_Niederschrift_K5.docx.</w:t>
      </w:r>
    </w:p>
    <w:p>
      <w:r>
        <w:t>7.6. Anlage K6 ist die Rechnung SBS-2026-084 vom 20. August 2026 über 18400 EUR in der Datei 10_Rechnung_SBS_K6.pdf.</w:t>
      </w:r>
    </w:p>
    <w:p>
      <w:r>
        <w:t>7.7. Anlage K7 ist der Nachrichtenverlauf vom 19. bis 21. August 2026 in der Datei 11_Nachrichten_K7.txt.</w:t>
      </w:r>
    </w:p>
    <w:p>
      <w:r>
        <w:t>7.8. Anlage K8 ist die Beanstandung vom 27. August 2026 in der Datei 12_Beanstandung_K8.docx.</w:t>
      </w:r>
    </w:p>
    <w:p>
      <w:r>
        <w:t>7.9. Anlage K9 ist die Antwort des Klägers vom 31. August 2026 in der Datei 13_Antwort_Seidel_K9.docx.</w:t>
      </w:r>
    </w:p>
    <w:p>
      <w:r>
        <w:t>Walburga Fürst</w:t>
        <w:br/>
        <w:t>Rechtsanwältin</w:t>
        <w:br/>
        <w:t>Übermittlung aus dem eigenen besonderen elektronischen Anwaltspostfach</w:t>
      </w:r>
    </w:p>
    <w:sectPr w:rsidR="00FC693F" w:rsidRPr="0006063C" w:rsidSect="00034616">
      <w:footerReference w:type="default" r:id="rId9"/>
      <w:pgSz w:w="11906" w:h="16838"/>
      <w:pgMar w:top="1191" w:right="1304" w:bottom="1191"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6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180" w:after="100" w:line="269" w:lineRule="auto"/>
      <w:outlineLvl w:val="0"/>
    </w:pPr>
    <w:rPr>
      <w:rFonts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69" w:lineRule="auto"/>
      <w:outlineLvl w:val="1"/>
    </w:pPr>
    <w:rPr>
      <w:rFonts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b/>
      <w:bCs/>
      <w:color w:val="4F81BD" w:themeColor="accent1"/>
    </w:rPr>
  </w:style>
  <w:style w:type="paragraph" w:styleId="Title">
    <w:name w:val="Title"/>
    <w:basedOn w:val="Normal"/>
    <w:next w:val="Normal"/>
    <w:link w:val="TitleChar"/>
    <w:uiPriority w:val="10"/>
    <w:qFormat/>
    <w:rsid w:val="00FC693F"/>
    <w:pPr>
      <w:keepNext/>
      <w:widowControl/>
      <w:spacing w:after="140" w:line="269" w:lineRule="auto"/>
      <w:contextualSpacing/>
    </w:pPr>
    <w:rPr>
      <w:rFonts w:ascii="Times New Roman" w:hAnsi="Times New Roman"/>
      <w:color w:val="000000"/>
      <w:spacing w:val="5"/>
      <w:kern w:val="28"/>
      <w:sz w:val="34"/>
      <w:szCs w:val="52"/>
    </w:rPr>
  </w:style>
  <w:style w:type="character" w:customStyle="1" w:styleId="TitleChar">
    <w:name w:val="Title Char"/>
    <w:basedOn w:val="DefaultParagraphFont"/>
    <w:link w:val="Title"/>
    <w:uiPriority w:val="10"/>
    <w:rsid w:val="00FC693F"/>
    <w:rPr>
      <w:rFonts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Klage</dc:title>
  <dc:subject/>
  <dc:creator>Kanzlei Walburga Fürst | Berliner Straße 91 | 13189 Berlin
post@fuerst-recht.example | Zeichen: WF 216/26</dc:creator>
  <cp:keywords/>
  <dc:description>generated by python-docx</dc:description>
  <cp:lastModifiedBy/>
  <cp:revision>1</cp:revision>
  <dcterms:created xsi:type="dcterms:W3CDTF">2026-10-01T09:00:00Z</dcterms:created>
  <dcterms:modified xsi:type="dcterms:W3CDTF">2026-10-01T09:00:00Z</dcterms:modified>
  <cp:category/>
</cp:coreProperties>
</file>