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Walburga Fürst | Berliner Straße 91, 13189 Berlin</w:t>
        <w:br/>
        <w:t>Arbeitsfassung der Klägervertreterin, 13:15 Uhr</w:t>
      </w:r>
    </w:p>
    <w:p>
      <w:r>
        <w:t>An: Spreebogen Lichtwerk GmbH; Kunigunde Rabenstein; Gottfried Seidel; Ottilie Heller</w:t>
      </w:r>
    </w:p>
    <w:p>
      <w:r>
        <w:t>09.10.2026</w:t>
      </w:r>
    </w:p>
    <w:p>
      <w:pPr>
        <w:pStyle w:val="Title"/>
      </w:pPr>
      <w:r>
        <w:t>Gesellschaftervereinbarung und Vergleichsrahmen – Entwurf</w:t>
      </w:r>
    </w:p>
    <w:p>
      <w:r>
        <w:t>ENTWURF – Stand 9. Oktober 2026, 13:15 Uhr. Nicht unterschrieben und nicht abschließend abgestimmt. Die nachfolgend als Alternative bezeichneten Regelungen sind konkurrierende vollständige Regelungsvorschläge. Ihre Aufnahme bedeutet weder Zustimmung noch Wahl einer Alternative. Insbesondere sind Organstellung, Rechnungsbereinigung, Finanzierungsgrenze und Vollzug offen. Eine Gegenzeichnung dieser Arbeitsfassung ist nicht erbeten.</w:t>
      </w:r>
    </w:p>
    <w:p>
      <w:pPr>
        <w:pStyle w:val="Heading1"/>
      </w:pPr>
      <w:r>
        <w:t>1 Parteien, Ausgangslage und Gegenstand</w:t>
      </w:r>
    </w:p>
    <w:p>
      <w:r>
        <w:t>1.1 Vertragsparteien sollen die Spreebogen Lichtwerk GmbH, Mühlenstraße 64, 13187 Berlin, sowie Kunigunde Rabenstein, Gottfried Seidel und Ottilie Heller jeweils persönlich sein. Die Gesellschaft ist in der Endfassung durch die nach Abschnitt 14 nachgewiesene vertretungsberechtigte Person zu bezeichnen. Rabensteins persönliche Erklärung und eine Erklärung für die Gesellschaft werden getrennt abgegeben.</w:t>
      </w:r>
    </w:p>
    <w:p>
      <w:r>
        <w:t>1.2 Das Stammkapital bleibt bei 25.000 EUR. Rabenstein hält Anteil Nr. 1 über 10.000 EUR, Seidel Anteil Nr. 2 über 8.750 EUR und Heller Anteil Nr. 3 über 6.250 EUR; die Beteiligungen betragen unverändert 40, 35 und 25 Prozent. Diese Vereinbarung enthält weder eine Kapitalerhöhung noch eine Anteilsabtretung.</w:t>
      </w:r>
    </w:p>
    <w:p>
      <w:r>
        <w:t>1.3 Die Parteien wollen ihre Zusammenarbeit im Lichtbetrieb und eine mögliche Beilegung des Verfahrens 32 O 187/26 vor dem Landgericht Berlin II regeln. Sie geben damit keine gemeinsame Bewertung des Beschlusses vom 9. September oder der Zahlung über 18.400 EUR ab. Die Vereinbarung soll schuldrechtliche Pflichten begründen; erforderliche gesellschaftsrechtliche Beschlüsse und Satzungsänderungen werden gesondert vollzogen.</w:t>
      </w:r>
    </w:p>
    <w:p>
      <w:pPr>
        <w:pStyle w:val="Heading1"/>
      </w:pPr>
      <w:r>
        <w:t>2 Beratung, Verhandlungsbefugnis und Kosten des Entwurfs</w:t>
      </w:r>
    </w:p>
    <w:p>
      <w:r>
        <w:t>2.1 Dr. Adelbert Feuchtwanger berät und vertritt ausschließlich die Gesellschaft. Walburga Fürst vertritt ausschließlich Seidel. Rabenstein und Heller handeln hinsichtlich ihrer persönlichen Beteiligungen auf eigene Rechnung und entscheiden selbst über zusätzliche Beratung. Die Zuleitung eines Entwurfs begründet kein gemeinsames Mandat und keine Befugnis eines Anwalts, für weitere Parteien Erklärungen abzugeben.</w:t>
      </w:r>
    </w:p>
    <w:p>
      <w:r>
        <w:t>2.2 Jede Partei trägt ihre eigenen Beratungskosten. Kosten eines gemeinsam beauftragten Notars oder Rechnungsprüfers dürfen erst nach gemeinsamer Festlegung von Auftrag, Kostenrahmen und Kostenträger ausgelöst werden. Die Gesellschaft übernimmt keine persönlichen Beratungskosten eines Gesellschafters ohne gesonderte wirksame Entscheidung. Prozesskosten werden ausschließlich nach Abschnitt 13 behandelt.</w:t>
      </w:r>
    </w:p>
    <w:p>
      <w:r>
        <w:t>2.3 Änderungen werden durch die jeweiligen Bevollmächtigten oder durch die persönlich betroffene Partei bestätigt. Schweigen auf einen Entwurf, die Teilnahme an einer Besprechung und die Übermittlung von Unterlagen gelten nicht als Zustimmung. Eine Verhandlungsbefugnis umfasst weder Abschlussvollmacht noch Prozessverzicht.</w:t>
      </w:r>
    </w:p>
    <w:p>
      <w:pPr>
        <w:pStyle w:val="Heading1"/>
      </w:pPr>
      <w:r>
        <w:t>3 Künftige Geschäftsführung und technische Verantwortung</w:t>
      </w:r>
    </w:p>
    <w:p>
      <w:r>
        <w:t>3.1 Alternative Seidel: Die Parteien veranlassen eine gesonderte, auf die Zukunft gerichtete Entscheidung über Seidels Bestellung zum technischen Geschäftsführer. Für sechs Monate ab vollständigem Vollzug wird eine gemeinsame Vertretung durch Rabenstein und Seidel vorgesehen. Erforderliche Satzungs-, Beschluss- und Registermaßnahmen werden zuvor festgelegt. Die Parteien überprüfen nach sechs Monaten anhand der Einkaufsberichte die dauerhafte Organisationsform. Eine rückwirkende Anerkennung des Septemberbeschlusses ist damit nicht verbunden.</w:t>
      </w:r>
    </w:p>
    <w:p>
      <w:r>
        <w:t>3.2 Alternative Gesellschaft: Rabenstein führt die Gesellschaft weiter; Seidel übernimmt zunächst bis zum 31. Januar 2027 die technische Projektbegleitung im Rahmen einer gesondert vereinbarten Aufgabenbeschreibung. Er erhält dadurch keine rechtsgeschäftliche Vertretungs- oder Bankbefugnis. Nach Prüfung der Rechnungsunterlagen und der Zusammenarbeit wird erneut über eine Organbestellung beraten; eine Bestellung wird nicht zugesagt.</w:t>
      </w:r>
    </w:p>
    <w:p>
      <w:r>
        <w:t>3.3 Keine Alternative gilt bereits durch diesen Entwurf als gewählt. Bis zum gesonderten wirksamen Vollzug werden aus der Vergleichsverhandlung weder eine neue Bestellung noch ein Rücktritt abgeleitet. Die Parteien lassen den streitigen bisherigen Organstatus rechtlich gesondert beurteilen.</w:t>
      </w:r>
    </w:p>
    <w:p>
      <w:pPr>
        <w:pStyle w:val="Heading1"/>
      </w:pPr>
      <w:r>
        <w:t>4 Anstellungsverhältnis und technische Mitarbeit</w:t>
      </w:r>
    </w:p>
    <w:p>
      <w:r>
        <w:t>4.1 Die Parteien behandeln Organstellung und Anstellungsverhältnis getrennt. Die Septembervergütung ist gezahlt. Die Oktoberabrechnung und alle weiteren Ansprüche werden anhand des bestehenden Anstellungsvertrags gesondert geprüft; die Abberufung wird in dieser Vereinbarung nicht als Kündigung erklärt. Weder Vergütungsverzicht noch Abgeltung bisheriger Ansprüche werden durch eine Aufgabenänderung stillschweigend vereinbart.</w:t>
      </w:r>
    </w:p>
    <w:p>
      <w:r>
        <w:t>4.2 Für eine technische Übergangsrolle sind Arbeitsumfang, Weisungsweg, Baustellenzugang, Haftpflichtdeckung und Vergütung vor Beginn schriftlich festzulegen. Seidel bietet drei Projekttage wöchentlich bis Ende Januar an; die Gesellschaft verlangt zusätzlich eine erreichbare Vertretung bei Störungen. Ohne diese Einigung entsteht keine Verpflichtung zu einer unentgeltlichen Beratung oder zu einer zusätzlichen Bereitschaft.</w:t>
      </w:r>
    </w:p>
    <w:p>
      <w:r>
        <w:t>4.3 Seidel erhält die für vereinbarte Aufgaben notwendigen Unterlagen und abgestimmten Kundentermine. Er darf gegenüber Kunden keine Organbefugnis aus der Übergangsrolle ableiten. Rabenstein benennt für jede Bestellung eine verantwortliche Person. Persönliche Bankzugänge werden nicht allein wegen einer technischen Mitarbeit reaktiviert. Die Fortgeltung bestehender Ansprüche bleibt unberührt.</w:t>
      </w:r>
    </w:p>
    <w:p>
      <w:pPr>
        <w:pStyle w:val="Heading1"/>
      </w:pPr>
      <w:r>
        <w:t>5 Einkaufsfreigaben und Zahlungsablauf</w:t>
      </w:r>
    </w:p>
    <w:p>
      <w:r>
        <w:t>5.1 Die Geschäftsordnung vom 10. Januar 2025 wird durch gesonderten Beschluss präzisiert. Zusammengehörige Bestellungen eines Projekts dürfen nicht zur Umgehung einer Freigabe aufgeteilt werden. Vor Freigabe sind Leistungsumfang, Bruttopreis, Liefertermin und Vergleichsangebot oder die belegte Unerreichbarkeit eines Vergleichsangebots vorzulegen. Eine Eingangsbestätigung der Buchhaltung ersetzt keine Entscheidung.</w:t>
      </w:r>
    </w:p>
    <w:p>
      <w:r>
        <w:t>5.2 Alternative Gesellschaft: Für Verpflichtungen und Zahlungen über 7.500 EUR brutto ist eine dokumentierte zweite Freigabe erforderlich. Alternative Seidel: Die bestehende Grenze von 10.000 EUR brutto bleibt erhalten. In beiden Alternativen benennt ein gesonderter Organisationsbeschluss die entscheidungsbefugten Personen; Heller übernimmt durch ihre Buchhaltungstätigkeit keine Geschäftsführungsverantwortung.</w:t>
      </w:r>
    </w:p>
    <w:p>
      <w:r>
        <w:t>5.3 Sofortmaßnahmen bei unmittelbarer Gefahr für Personen oder erheblichen Sachschaden werden noch am selben Tag mit Anlass, Betrag und Empfänger dokumentiert. Ein Kundentermin allein begründet keine Ausnahme. Bankberechtigungen und interner Freigabeablauf werden gemeinsam überprüft. Diese Innenregelung behauptet keine automatische Unwirksamkeit eines dennoch gegenüber einem Lieferanten abgeschlossenen Geschäfts; die Folgen eines Verstoßes werden gesondert beurteilt.</w:t>
      </w:r>
    </w:p>
    <w:p>
      <w:pPr>
        <w:pStyle w:val="Heading1"/>
      </w:pPr>
      <w:r>
        <w:t>6 Geschäfte mit Gesellschaftern und nahestehenden Unternehmen</w:t>
      </w:r>
    </w:p>
    <w:p>
      <w:r>
        <w:t>6.1 Vor jeder Beauftragung eines Gesellschafters oder seines Unternehmens werden Beteiligung, Leistungsumfang und Preis offengelegt. Dies erfasst die Seidel Bühnenservice e.K. ohne Betragsuntergrenze. Die nach Satzung erforderliche Gesellschafterentscheidung wird vor Auftrag und Zahlung gesondert herbeigeführt; anwendbare Stimmverbote werden geprüft und protokolliert. Der betroffene Gesellschafter erteilt sich keine interne Genehmigung selbst.</w:t>
      </w:r>
    </w:p>
    <w:p>
      <w:r>
        <w:t>6.2 Alternative Gesellschaft: Neue Geschäfte mit Seidels Einzelfirma werden bis zum Abschluss der Rechnungsprüfung ausgesetzt. Alternative Seidel: Ein Auftrag bleibt währenddessen zulässig, wenn Vergleichspreis, Leistungsnachweis und die erforderliche konfliktfreie Entscheidung vorliegen. Eine pauschale Befreiung von Beschränkungen des Selbstkontrahierens wird in keiner Alternative vereinbart.</w:t>
      </w:r>
    </w:p>
    <w:p>
      <w:r>
        <w:t>6.3 Die Parteien legen vor Umsetzung fest, wer die Gesellschaft beim konkreten Vertrag vertritt. Eine bloße Freigabe durch Heller genügt hierfür nicht. Diese Regeln genehmigen die Rechnung SBS-2026-084 und ihre Zahlung nicht nachträglich. Die Beteiligten behalten hierzu ihre unterschiedlichen Auffassungen; eine abschließende Bereinigung ist ausschließlich nach Abschnitt 7 möglich.</w:t>
      </w:r>
    </w:p>
    <w:p>
      <w:pPr>
        <w:pStyle w:val="Heading1"/>
      </w:pPr>
      <w:r>
        <w:t>7 Prüfung und mögliche Bereinigung der Rechnung</w:t>
      </w:r>
    </w:p>
    <w:p>
      <w:r>
        <w:t>7.1 Die Prüfung betrifft ausschließlich die Rechnung SBS-2026-084 vom 20. August 2026 und die Zahlung von 18.400 EUR am 21. August. Bis zum 16. Oktober werden verfügbare Fremdbelege, Stundenaufzeichnungen und Seriennummern in einer gemeinsamen Belegliste zusammengeführt. Originale bleiben erhalten. Vier dokumentierte Wareneingänge, der nachgetragene Eintrag zu L-433 und die unklare Bearbeitung von L-427 werden getrennt bewertet.</w:t>
      </w:r>
    </w:p>
    <w:p>
      <w:r>
        <w:t>7.2 Ein gemeinsam beauftragter unabhängiger Rechnungsprüfer soll offene Positionen bis zum 22. Oktober erläutern; sein Bericht ist ohne weitere Vereinbarung kein verbindliches Schiedsgutachten. Die Parteien können tatsächliche Einwendungen binnen drei Arbeitstagen nach Zugang ergänzen. Terminüberschreitungen verändern gerichtliche Fristen nicht.</w:t>
      </w:r>
    </w:p>
    <w:p>
      <w:r>
        <w:t>7.3 Alternative Seidel: Eine abschließende Gutschrift wird erst nach Prüfung vereinbart und auf höchstens 2.380 EUR brutto begrenzt. Alternative Gesellschaft: Vor einem Anspruchsverzicht erfolgt zunächst eine Zahlung von 3.500 EUR; ihre endgültige Anrechnung wird nach Prüfung geregelt. Heller schlägt stattdessen eine gemeinsam geregelte Verwahrung bis zur Einigung vor. Keine Variante ist angenommen; weder Prüfdifferenzen noch Angebotssummen gelten als bewiesener Schaden.</w:t>
      </w:r>
    </w:p>
    <w:p>
      <w:pPr>
        <w:pStyle w:val="Heading1"/>
      </w:pPr>
      <w:r>
        <w:t>8 Information, Ablage und Berichtswesen</w:t>
      </w:r>
    </w:p>
    <w:p>
      <w:r>
        <w:t>8.1 Jeder Gesellschafter erhält monatlich bis zum zehnten Arbeitstag des Folgemonats eine Übersicht der Liquidität, offenen Forderungen, Verbindlichkeiten und freigabepflichtigen Bestellungen. Heller stellt vorhandene Buchhaltungsdaten zusammen; die Verantwortung für deren Freigabe und Erläuterung liegt bei der Geschäftsführung. Eine zusätzliche persönliche Gewährleistung Hellers wird nicht vereinbart.</w:t>
      </w:r>
    </w:p>
    <w:p>
      <w:r>
        <w:t>8.2 Für Seidels Einsicht in die Lindenhof-Unterlagen wird nach gemeinsamer Terminabstimmung ein geschützter Lesezugang oder eine geordnete Kopienbereitstellung eingerichtet. Veränderungen und Löschungen der Originalablage sind ausgeschlossen. Die Gesellschaft dokumentiert, welche Unterlagen wann bereitgestellt wurden, und begründet konkret, wenn sie einzelne Unterlagen zurückhält.</w:t>
      </w:r>
    </w:p>
    <w:p>
      <w:r>
        <w:t>8.3 Das zusätzliche Berichtswesen beschränkt gesetzliche Auskunfts- und Einsichtsrechte nicht. Ein pauschaler Ausschluss wegen des laufenden Streits wird nicht vereinbart. Vertrauliche Daten dürfen von den Empfängern nur für gesellschaftsbezogene Prüfung und zulässige Rechtsverfolgung verwendet werden. Der Zugang zu Abrechnungsunterlagen vermittelt weder Zahlungsberechtigung noch Vertretungsmacht.</w:t>
      </w:r>
    </w:p>
    <w:p>
      <w:pPr>
        <w:pStyle w:val="Heading1"/>
      </w:pPr>
      <w:r>
        <w:t>9 Zustimmungsvorbehalte und Beschlussverfahren</w:t>
      </w:r>
    </w:p>
    <w:p>
      <w:r>
        <w:t>9.1 Die Parteien wollen für neue Kredite, Sicherheiten für fremde Verbindlichkeiten und Investitionen außerhalb eines beschlossenen Jahresbudgets einen besonderen Zustimmungskatalog vereinbaren. Rabenstein und Seidel schlagen eine Schwelle von 75 Prozent des gesamten Stammkapitals vor. Heller verlangt bei neuen persönlichen Finanzierungsbeiträgen außerdem die ausdrückliche Zustimmung jedes belasteten Gesellschafters. Die konkrete Abgrenzung zu laufenden Bestellungen wird vor der Endfassung festgelegt.</w:t>
      </w:r>
    </w:p>
    <w:p>
      <w:r>
        <w:t>9.2 Bis zu einer wirksamen Satzungsänderung bleiben die vorhandenen gesellschaftsrechtlichen Mehrheits- und Verfahrensregeln maßgeblich. Eine schuldrechtliche Verpflichtung, eine bestimmte Zustimmung einzuholen, wird nicht als bereits geänderte Beschlussmehrheit ausgegeben. Zwingende Stimmverbote bleiben bei jeder Entscheidung gesondert zu prüfen.</w:t>
      </w:r>
    </w:p>
    <w:p>
      <w:r>
        <w:t>9.3 Einladungen, Anträge, Stimmen, Enthaltungen, nicht berücksichtigte Stimmen und Widersprüche werden nachvollziehbar dokumentiert. Die Parteien streben eine neutrale Versammlungsleitung bei persönlichen Konflikten an; die Bestellung erfolgt im Einzelfall nach der Satzung. Heller wird nicht dauerhaft zur Konfliktentscheiderin verpflichtet. Die Septemberniederschrift wird nicht nachträglich umgeschrieben.</w:t>
      </w:r>
    </w:p>
    <w:p>
      <w:pPr>
        <w:pStyle w:val="Heading1"/>
      </w:pPr>
      <w:r>
        <w:t>10 Künftiger Finanzierungsbedarf</w:t>
      </w:r>
    </w:p>
    <w:p>
      <w:r>
        <w:t>10.1 Die Geschäftsführung legt bis zum 30. Oktober eine Liquiditätsvorschau bis März 2027 vor. Der bislang nur vorsorglich erörterte Betrag von 40.000 EUR ist weder festgestellter Fehlbetrag noch beschlossene Kapitalzuführung. Vorrangig werden betriebliche Zahlungstermine, verfügbare Bankmittel und realistische Kundeneingänge betrachtet.</w:t>
      </w:r>
    </w:p>
    <w:p>
      <w:r>
        <w:t>10.2 Alternative Rabenstein: Ein belegter Bedarf soll zunächst durch freiwillige Gesellschafterdarlehen entsprechend den Beteiligungen angeboten werden. Alternative Seidel: Vor einem solchen Angebot wird eine Bankfinanzierung geprüft; er sagt kein Darlehen zu. Heller lehnt jede automatische Nachschuss-, Bürgschafts- oder Sicherheitenpflicht ab. Ohne gesonderten Vertrag entsteht keine Finanzierungsverpflichtung.</w:t>
      </w:r>
    </w:p>
    <w:p>
      <w:r>
        <w:t>10.3 Zins, Laufzeit, Rückzahlung, Sicherheiten und Risiken eines Darlehens werden erst anhand eines konkreten Finanzierungsvorschlags vereinbart. Die Nichtteilnahme führt aufgrund dieses Entwurfs weder zu einer Verwässerung noch zu einem Stimmrechtsverlust oder einer Verkaufspflicht. Eine spätere Kapitalerhöhung bleibt einem eigenständigen, formgerechten Verfahren vorbehalten und ist kein Bestandteil dieses Vergleichsrahmens.</w:t>
      </w:r>
    </w:p>
    <w:p>
      <w:pPr>
        <w:pStyle w:val="Heading1"/>
      </w:pPr>
      <w:r>
        <w:t>11 Dauerhafte Meinungsverschiedenheiten und Beteiligungen</w:t>
      </w:r>
    </w:p>
    <w:p>
      <w:r>
        <w:t>11.1 Scheitert derselbe zustimmungsbedürftige Antrag in zwei ordnungsgemäßen Beratungen, sollen die Parteien binnen zehn Arbeitstagen eine weitere Besprechung unter neutraler Moderation durchführen. Die Auswahl und ein Kostenrahmen werden gemeinsam bestätigt. Scheitert die Auswahl, darf jede Partei eine geeignete Person vorschlagen; daraus folgt keine einseitige Ernennung.</w:t>
      </w:r>
    </w:p>
    <w:p>
      <w:r>
        <w:t>11.2 Die Moderation endet spätestens zwanzig Arbeitstage nach ihrer Beauftragung, sofern alle Beteiligten keine Verlängerung vereinbaren. Sie hemmt keine gerichtliche, gesetzliche oder satzungsmäßige Frist und sperrt keinen erforderlichen Eilrechtsschutz. Eine Schiedsvereinbarung oder verbindliche Mehrheitsentscheidung des Moderators wird nicht getroffen.</w:t>
      </w:r>
    </w:p>
    <w:p>
      <w:r>
        <w:t>11.3 Es wird kein Kaufangebot erzwungen und keine Buchwertabfindung vereinbart. Eine spätere freiwillige Trennung setzt gesonderte Verhandlungen über Bewertung, Finanzierung, Haftung und Form voraus. Die bestehenden Satzungsregeln über Anteilsübertragungen bleiben bestehen. Dieser Entwurf enthält auch keine bedingte Verpflichtung zur Abtretung. Die Parteien bleiben bis zu einem gesonderten wirksamen Geschäft Inhaber ihrer bisherigen Anteile.</w:t>
      </w:r>
    </w:p>
    <w:p>
      <w:pPr>
        <w:pStyle w:val="Heading1"/>
      </w:pPr>
      <w:r>
        <w:t>12 Vertraulichkeit und gemeinsame Außenkommunikation</w:t>
      </w:r>
    </w:p>
    <w:p>
      <w:r>
        <w:t>12.1 Vergleichsvorschläge werden nur an Berater, erforderliche Entscheidungsträger und gesetzlich berechtigte Empfänger weitergegeben. Offenlegung gegenüber Gericht, Behörden oder Versicherern sowie zur zulässigen Rechtsverfolgung bleibt möglich. Keine Partei verpflichtet sich, Tatsachen falsch darzustellen oder vorhandene Beweismittel zurückzuhalten, zu verändern oder zu vernichten.</w:t>
      </w:r>
    </w:p>
    <w:p>
      <w:r>
        <w:t>12.2 Eine Mitteilung an Beschäftigte oder Kunden wird vor Veröffentlichung gemeinsam abgestimmt. Sie beschreibt ausschließlich die tatsächlich wirksam geregelten Zuständigkeiten. Weder eine feststehende Unterschlagung noch eine vollständige Entlastung Seidels wird behauptet. Ein Vergleichsangebot stellt kein Anerkenntnis seiner zugrunde gelegten Tatsachen dar.</w:t>
      </w:r>
    </w:p>
    <w:p>
      <w:r>
        <w:t>12.3 Rabenstein wünscht eine sachliche Betriebsmitteilung nach Vollzug; Seidel verlangt vorherige Zustimmung zum Wortlaut. Heller möchte, dass ihr Name nur bei ihrer tatsächlichen Zuständigkeit genannt wird. Bis zur Einigung beantwortet die Gesellschaft betriebliche Rückfragen anhand der jeweils gesondert geprüften aktuellen Befugnisse. Eine behauptete Vertraulichkeit ersetzt keinen wirksamen Schutz vor jeder prozessualen Verwendung; hierüber treffen die Parteien keine Zusicherung.</w:t>
      </w:r>
    </w:p>
    <w:p>
      <w:pPr>
        <w:pStyle w:val="Heading1"/>
      </w:pPr>
      <w:r>
        <w:t>13 Prozess, Anspruchsumfang und Vergleichskosten</w:t>
      </w:r>
    </w:p>
    <w:p>
      <w:r>
        <w:t>13.1 Die Fristen für die Verteidigungsanzeige am 9. Oktober und die Klageerwiderung am 23. Oktober 2026 werden unabhängig von den Gesprächen bearbeitet. Dieser Entwurf dokumentiert weder einen Gerichtseingang noch eine Verlängerung. Er verpflichtet keine Partei, vor Erfüllung der Vollzugsbedingungen eine Klage zurückzunehmen, einen Anspruch anzuerkennen oder einen Prozessverzicht zu erklären.</w:t>
      </w:r>
    </w:p>
    <w:p>
      <w:r>
        <w:t>13.2 Nach vollständigem Vollzug soll ein gesonderter Prozessvergleich ausgearbeitet werden. Sein Umfang muss den Beschlussstreit und die konkret abschließend bereinigten Rechnungspositionen bezeichnen. Anstellungs- und Vergütungsansprüche werden nur einbezogen, wenn sie einzeln geprüft und ausdrücklich aufgeführt sind. Eine pauschale Erledigung sämtlicher bekannter und unbekannter Ansprüche wird nicht vereinbart.</w:t>
      </w:r>
    </w:p>
    <w:p>
      <w:r>
        <w:t>13.3 Seidel bietet an, dass jede Prozesspartei ihre eigenen Anwaltskosten und die Hälfte der Gerichtskosten trägt. Die Gesellschaft hält ihre Zustimmung hierzu bis zur Rechnungsbereinigung offen. Persönliche Beratungskosten Rabensteins und Hellers werden nicht zu Prozesskosten der Gesellschaft. Über bereits verauslagte Beträge, Vergleichsmehrwert und zusätzliche Gebühren ist vor Abschluss gesondert abzurechnen.</w:t>
      </w:r>
    </w:p>
    <w:p>
      <w:pPr>
        <w:pStyle w:val="Heading1"/>
      </w:pPr>
      <w:r>
        <w:t>14 Form, Unterschriften, Beginn und Vollzug</w:t>
      </w:r>
    </w:p>
    <w:p>
      <w:r>
        <w:t>14.1 Die endgültige Vereinbarung wird von allen drei Gesellschaftern persönlich und gesondert für die Gesellschaft durch ihren wirksam legitimierten Vertreter unterschrieben. Die Vertretung im Prozess, beim Vergleich, beim Anstellungsvertrag und bei etwaigen Ansprüchen gegen Seidel ist gegenstandsbezogen zu klären. Noch fehlende Beschlüsse und Vollmachten werden beigefügt. Rabensteins Geschäftsführereigenschaft oder die Unterschrift ihres Anwalts wird nicht pauschal als ausreichender Nachweis behandelt.</w:t>
      </w:r>
    </w:p>
    <w:p>
      <w:r>
        <w:t>14.2 Satzungsänderungen werden gesondert notariell beschlossen und registerrechtlich vollzogen. Eine etwaige spätere Anteilsübertragung oder entsprechende Verpflichtung wird dem Notar vorgelegt. Notwendige Formvorschriften werden nicht durch Textformklauseln ersetzt. Die Beteiligten lassen prüfen, ob die Verbindung einzelner Regelungen eine weitergehende Beurkundung erfordert.</w:t>
      </w:r>
    </w:p>
    <w:p>
      <w:r>
        <w:t>14.3 Zieltermin ist der 1. November 2026; bei späterem Vollzug beginnt die vereinbarte Zusammenarbeit erst nach dessen Bestätigung. Voraussetzungen sind die gewählte Organ- und Anstellungsregelung, erforderliche Beschlüsse und Registerwirkungen, ein abgestimmter Bankablauf, bereitgestellte Informationen sowie die vereinbarte Rechnungszahlung oder Verwahrung. Beide Parteivertretungen bestätigen den belegten Vollzug vor jeder prozessbeendenden Erklärung. Wird bis zum 30. Oktober keine unterschriftsfähige Fassung erreicht, wird weiterverhandelt oder abgebrochen; ein Vergleich entsteht dadurch nicht. Bei Unwirksamkeit einer Bestimmung verhandeln die Parteien eine Ersatzregelung, ohne deren Inhalt automatisch zu fingieren.</w:t>
      </w:r>
    </w:p>
    <w:p>
      <w:r>
        <w:t>Unterschriften sind nicht geleistet. Die endgültigen Unterzeichnungsfelder werden erst nach Klärung der Vertretung und Auswahl sämtlicher Alternativen erstellt.</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Gesellschaftervereinbarung und Vergleichsrahmen – Entwurf</dc:title>
  <dc:subject/>
  <dc:creator>Kanzlei Walburga Fürst | Berliner Straße 91, 13189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