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Walburga Fürst</w:t>
        <w:br/>
        <w:t>Berliner Straße 91, 13189 Berlin</w:t>
        <w:br/>
        <w:t>Zeichen WF 216/26</w:t>
      </w:r>
    </w:p>
    <w:p>
      <w:r>
        <w:t>An: Dr. Adelbert Feuchtwanger</w:t>
        <w:br/>
        <w:t>Für die Spreebogen Lichtwerk GmbH</w:t>
      </w:r>
    </w:p>
    <w:p>
      <w:r>
        <w:t>08.10.2026</w:t>
      </w:r>
    </w:p>
    <w:p>
      <w:pPr>
        <w:pStyle w:val="Title"/>
      </w:pPr>
      <w:r>
        <w:t>Vergleichsvorschlag aus Sicht des Klägers</w:t>
      </w:r>
    </w:p>
    <w:p>
      <w:r>
        <w:t>Sehr geehrter Herr Kollege Dr. Feuchtwanger,</w:t>
      </w:r>
    </w:p>
    <w:p>
      <w:r>
        <w:t>mein Mandant möchte nicht dauerhaft über jeden Werkstattschlüssel streiten. Er ist zu einer Gesamtregelung bereit, die ihm eine reale technische Aufgabe lässt. Das bedeutet weder, dass er die Abberufung für wirksam hält, noch dass er einen Schadensersatzanspruch anerkennt. Ich vertrete ausschließlich Herrn Seidel. Für Frau Rabenstein und Frau Heller gebe ich keine Erklärung ab. Bitte behandeln Sie die folgenden Vorschläge als zusammenhängendes Verhandlungsangebot, dessen Einzelteile nicht isoliert angenommen werden können.</w:t>
      </w:r>
    </w:p>
    <w:p>
      <w:pPr>
        <w:pStyle w:val="Heading1"/>
      </w:pPr>
      <w:r>
        <w:t>1 Organstellung und Anstellung</w:t>
      </w:r>
    </w:p>
    <w:p>
      <w:r>
        <w:t>Herr Seidel strebt eine ausdrücklich auf die Zukunft gerichtete Bestellung zum technischen Geschäftsführer an. Um Ihre Mandantin von einem erneuten Alleingang zu entlasten, bietet er für sechs Monate gemeinsame Vertretung mit Frau Rabenstein an. Anschließend sollen beide anhand der tatsächlichen Zusammenarbeit über die Organisationsform sprechen. Welche Beschlüsse und gegebenenfalls Satzungsänderungen dafür erforderlich sind, müssen wir vor Abschluss festhalten. Einen automatischen Rückfall in unbeschränkte Einzelvertretung verlangt er nicht.</w:t>
      </w:r>
    </w:p>
    <w:p>
      <w:r>
        <w:t>Als zweite Möglichkeit kann er sich eine technische Übergangsrolle bis zum 31. Januar vorstellen. Er könnte drei Tage wöchentlich die laufenden Bühnenprojekte betreuen. Eine pauschale Bereitschaft an sämtlichen übrigen Tagen und die sofortige Kündigung seines bisherigen Vertrags lehnt er ab. Die Vergütung für Oktober ist gesondert zu behandeln. Dass die Septembervergütung gezahlt wurde, ist bekannt; über einen Verzicht auf weitere Ansprüche habe ich keinen Auftrag. Eine technische Aufgabe braucht einen definierten Umfang, Zugang zu den erforderlichen Unterlagen und Klarheit über Haftpflichtdeckung und Ansprechpartner.</w:t>
      </w:r>
    </w:p>
    <w:p>
      <w:pPr>
        <w:pStyle w:val="Heading1"/>
      </w:pPr>
      <w:r>
        <w:t>2 Rechnung und künftige Freigaben</w:t>
      </w:r>
    </w:p>
    <w:p>
      <w:r>
        <w:t>Mein Mandant hat die Zuordnung des sechsten Geräts noch nicht aufgeklärt. Die neuen Unterlagen rechtfertigen weder die Behauptung vollständiger Nichtleistung noch die unbesehene Bestätigung aller Rechnungspositionen. Er würde nach gemeinsamer Prüfung eine Gutschrift bis höchstens 2.380 EUR brutto erwägen. Das ist seine wirtschaftliche Vergleichsgrenze, keine Berechnung eines anerkannten Schadens. Eine Zahlung vor Sichtung der Belege bietet er nicht an. Ein gemeinsam ausgewählter sachkundiger Rechnungsprüfer kann helfen; ein verbindliches Schiedsgutachten möchte mein Mandant zunächst nicht vereinbaren. Nach Zugang seines Berichts sollen beide Seiten drei Arbeitstage für ergänzende tatsächliche Einwendungen haben.</w:t>
      </w:r>
    </w:p>
    <w:p>
      <w:r>
        <w:t>Die Freigabegrenze von 10.000 EUR brutto soll bleiben. Zusammengehörige Bestellungen dürfen nicht aufgeteilt werden. Nachweise über Preis und Leistungsumfang sowie eine dokumentierte zweite Freigabe akzeptiert er, sofern Zuständigkeit und Vertretung bei Abwesenheit feststehen. Ein Liefertermin soll keine Ausnahme begründen; echte Gefahrenfälle müssen weiter handhabbar bleiben. Für Geschäfte mit seiner Einzelfirma akzeptiert er gesonderte konfliktfreie Entscheidungen auch unterhalb der Betragsgrenze. Eine generelle Sperre sämtlicher Lieferungen bis zum Abschluss des Streits lehnt er ab. Die Frage des Selbstkontrahierens soll bei jedem konkreten Geschäft ordentlich geklärt werden.</w:t>
      </w:r>
    </w:p>
    <w:p>
      <w:pPr>
        <w:pStyle w:val="Heading1"/>
      </w:pPr>
      <w:r>
        <w:t>3 Beteiligung, Finanzierung und Information</w:t>
      </w:r>
    </w:p>
    <w:p>
      <w:r>
        <w:t>Die Beteiligungen bleiben bei 40, 35 und 25 Prozent. Mein Mandant verhandelt weder eine Kapitalerhöhung noch einen Verkauf seines Anteils. Eine Satzungsregel über 75 Prozent des gesamten Stammkapitals für neue Kredite, fremde Sicherheiten und Investitionen außerhalb des Budgets erscheint ihm besprechbar. Er verlangt keine Einbeziehung gewöhnlicher Materialbestellungen in ein allgemeines Vetorecht.</w:t>
      </w:r>
    </w:p>
    <w:p>
      <w:r>
        <w:t>Vor einem Gesellschafterdarlehen muss die Möglichkeit einer Bankfinanzierung geprüft werden. Aus einem derzeit genannten möglichen Bedarf von 40.000 EUR kann niemand eine persönliche Zahlungspflicht ableiten. Wir brauchen zunächst eine Vorschau bis März 2027. Monatliche Zahlen bis zum zehnten Arbeitstag und ein dokumentierter Lesezugang zur Einkaufsablage wären hilfreich. Gesetzliche Informationsrechte sollen davon unabhängig bleiben.</w:t>
      </w:r>
    </w:p>
    <w:p>
      <w:pPr>
        <w:pStyle w:val="Heading1"/>
      </w:pPr>
      <w:r>
        <w:t>4 Konflikte, Kosten und Vollzug</w:t>
      </w:r>
    </w:p>
    <w:p>
      <w:r>
        <w:t>Nach zwei gescheiterten Beratungen desselben Gegenstands kann eine neutrale Moderation binnen zehn Arbeitstagen beginnen. Sie soll nach zwanzig Arbeitstagen enden, sofern alle keine Verlängerung wünschen. Eine Zwangsverkaufsregel, Buchwertabfindung oder Schiedsvereinbarung kommt nicht in Betracht. Gesetzliche und gerichtliche Fristen müssen unberührt bleiben.</w:t>
      </w:r>
    </w:p>
    <w:p>
      <w:r>
        <w:t>Die Vergleichskommunikation soll vertraulich bleiben, ohne Offenlegung an Berater, Gerichte, Versicherer oder Behörden und zulässige Rechtsverfolgung zu verhindern. Beweismittel müssen erhalten bleiben. Eine Betriebsmitteilung bedarf eines gemeinsam gebilligten Wortlauts. Mein Mandant wird weder öffentlich ein Fehlverhalten eingestehen noch eine unzutreffende Entlastung verlangen.</w:t>
      </w:r>
    </w:p>
    <w:p>
      <w:r>
        <w:t>Für das Verfahren bietet er eigene Anwaltskosten je Partei und hälftige Gerichtskosten an. Persönliche Berater bezahlen die Gesellschafter selbst. Gemeinsame Prüfer- oder Notarkosten werden nur nach vorherigem Auftrag ausgelöst. Erledigt werden sollen nur ausdrücklich bezeichnete Streitgegenstände; unbekannte Ansprüche und ungeprüfte Vergütung werden nicht pauschal abgegolten.</w:t>
      </w:r>
    </w:p>
    <w:p>
      <w:r>
        <w:t>Ein Zielbeginn am 1. November ist vorstellbar. Bis zum 30. Oktober müsste eine vollständige Fassung vorliegen. Erforderliche Beschlüsse, registerrechtliche Wirkungen, Rechnungszahlung, Bankablauf und Informationszugang müssen zuvor nachgewiesen sein. Alle drei Gesellschafter unterschreiben persönlich; für die Gesellschaft ist eine getrennte, wirksam legitimierte Erklärung erforderlich. Bitte klären Sie die Vertretung für Prozess, Vergleich und Anstellung gegenstandsbezogen. Die gesetzlichen Formanforderungen einschließlich einer möglichen Gesamtbeurkundung sind vor Unterzeichnung zu prüfen. Die Parteien sollen bei einer unwirksamen Regelung erneut verhandeln; eine fiktive Ersatzregelung lehne ich ab.</w:t>
      </w:r>
    </w:p>
    <w:p>
      <w:r>
        <w:t>Eine Klagerücknahme vor Vollzug biete ich nicht an. Die Verteidigungsfristen laufen unabhängig von diesem Schreiben. Sollten wir nicht rechtzeitig einig werden, wird weiterverhandelt oder das Gespräch beendet, ohne dass darin bereits ein Vergleich liegt. Auch Schweigen, Unterlagenversand und Teilnahme am Gespräch sollen keine Zustimmung zum Vertragsentwurf ersetzen.</w:t>
      </w:r>
    </w:p>
    <w:p>
      <w:r>
        <w:t>Mit kollegialen Grüßen</w:t>
        <w:br/>
        <w:t>Walburga Fürst</w:t>
        <w:br/>
        <w:t>Rechtsanwältin</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Vergleichsvorschlag aus Sicht des Klägers</dc:title>
  <dc:subject/>
  <dc:creator>Rechtsanwältin Walburga Fürst</dc:creator>
  <cp:keywords/>
  <dc:description>generated by python-docx</dc:description>
  <cp:lastModifiedBy/>
  <cp:revision>1</cp:revision>
  <dcterms:created xsi:type="dcterms:W3CDTF">2026-10-01T09:00:00Z</dcterms:created>
  <dcterms:modified xsi:type="dcterms:W3CDTF">2026-10-01T09:00:00Z</dcterms:modified>
  <cp:category/>
</cp:coreProperties>
</file>