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Ottilie Heller</w:t>
        <w:br/>
        <w:t>Gesellschafterin mit 25 Prozent | Mühlenstraße 64, 13187 Berlin</w:t>
      </w:r>
    </w:p>
    <w:p>
      <w:r>
        <w:t>An: Kunigunde Rabenstein; Gottfried Seidel</w:t>
        <w:br/>
        <w:t>Zur Weitergabe an deren jeweilige anwaltliche Vertretung</w:t>
      </w:r>
    </w:p>
    <w:p>
      <w:r>
        <w:t>09.10.2026</w:t>
      </w:r>
    </w:p>
    <w:p>
      <w:pPr>
        <w:pStyle w:val="Title"/>
      </w:pPr>
      <w:r>
        <w:t>Persönliche Stellungnahme zur künftigen Zusammenarbeit</w:t>
      </w:r>
    </w:p>
    <w:p>
      <w:r>
        <w:t>Liebe Kunigunde, lieber Gottfried,</w:t>
      </w:r>
    </w:p>
    <w:p>
      <w:r>
        <w:t>ich möchte, dass wir den Betrieb wieder ordentlich führen können. Das hier schreibe ich als Gesellschafterin. Es ist keine Zahlungsfreigabe aus der Buchhaltung und keine Vollmacht, mich anwaltlich zu vertreten. Herr Dr. Feuchtwanger vertritt die Gesellschaft, Frau Fürst Gottfried. Für mich habe ich bislang niemanden beauftragt. Bevor ich persönlich unterschreibe, will ich die fertige Fassung prüfen lassen können. Dafür möchte ich mindestens fünf Arbeitstage ab Zugang der vollständigen Unterlagen haben. Ich zahle meine Beratung selbst.</w:t>
      </w:r>
    </w:p>
    <w:p>
      <w:pPr>
        <w:pStyle w:val="Heading1"/>
      </w:pPr>
      <w:r>
        <w:t>1 Arbeitsteilung und Informationen</w:t>
      </w:r>
    </w:p>
    <w:p>
      <w:r>
        <w:t>Gottfrieds technisches Wissen wird weiter gebraucht. Ob er wieder Geschäftsführer wird oder zunächst drei Tage die Projekte begleitet, müssen wir ausdrücklich entscheiden. Ich möchte keine Formulierung, die ihn durch die Überschrift Technischer Leiter heimlich zum Geschäftsführer macht. Falls er bis Januar mitarbeitet, brauchen die Monteure einen verlässlichen Ansprechpartner für die anderen Tage. Sein Anstellungsvertrag, die Oktoberabrechnung und mögliche spätere Änderungen gehören auf einen eigenen Zettel mit überprüften Zahlen.</w:t>
      </w:r>
    </w:p>
    <w:p>
      <w:r>
        <w:t>Eine monatliche Zahlenübersicht bis zum zehnten Arbeitstag kann ich aus der Buchhaltung vorbereiten. Die Geschäftsführung muss sie prüfen und erläutern. Ich übernehme keine persönliche Garantie für Kundenzahlungen und entscheide auch nicht allein, ob Ausgaben unternehmerisch sinnvoll sind. Lesezugang und Kopien für Gottfried sind möglich, wenn die Originalablage geschützt bleibt. Seine gesetzlichen Informationsrechte sollen dabei nicht von meiner Verfügbarkeit abhängen.</w:t>
      </w:r>
    </w:p>
    <w:p>
      <w:pPr>
        <w:pStyle w:val="Heading1"/>
      </w:pPr>
      <w:r>
        <w:t>2 Rechnung und Kontrolle</w:t>
      </w:r>
    </w:p>
    <w:p>
      <w:r>
        <w:t>Vier Geräte habe ich über den Wareneingang, L-433 über den späteren Eintrag und L-427 bislang nur als altes Gerät beziehungsweise möglichen Umbau. Bitte schreibt weder sechs belegte Neulieferungen noch zwei nachweislich fehlende Geräte in einen Vergleich. Der Prüfer soll Rechnung, Zahlung und Leistungsbelege getrennt behandeln. Ein Bericht bis zum 22. Oktober erscheint mir nur erreichbar, wenn bis zum 16. Oktober alles Verfügbare gesammelt ist. Über fehlende Unterlagen muss dann offen gesprochen werden.</w:t>
      </w:r>
    </w:p>
    <w:p>
      <w:r>
        <w:t>Zwischen 2.380 und 3.500 EUR möchte ich nicht durch Bauchgefühl entscheiden. Man könnte einen vereinbarten Betrag bei einer gemeinsam ausgewählten geeigneten Stelle verwahren, bis die Endabrechnung feststeht. Es gibt aber noch keine Stelle, keine Verwahrungszusage und keine Kostenvereinbarung. Ein Gericht oder ein Notar soll nicht ohne Anfrage als bereit bezeichnet werden. Ich will auch nicht als Buchhalterin fremdes Geld privat entgegennehmen.</w:t>
      </w:r>
    </w:p>
    <w:p>
      <w:r>
        <w:t>Die Entscheidung zwischen 7.500 und 10.000 EUR muss der Betrieb tragen können. Wichtiger ist mir, dass derselbe Auftrag nicht in drei kleine Rechnungen zerlegt wird und dass eine zweite befugte Person entscheidet. Die Freigabe für eine Gesellschafterfirma muss davon getrennt bleiben. Wenn jemand persönlich betroffen ist, soll rechtlich geprüft werden, wer abstimmen und den Vertrag unterschreiben darf. Meine Unterschrift unter einer Buchung ersetzt beides nicht.</w:t>
      </w:r>
    </w:p>
    <w:p>
      <w:pPr>
        <w:pStyle w:val="Heading1"/>
      </w:pPr>
      <w:r>
        <w:t>3 Meine Beteiligung und mein Geld</w:t>
      </w:r>
    </w:p>
    <w:p>
      <w:r>
        <w:t>Meine 25 Prozent bleiben bestehen. Eine allgemeine 75-Prozent-Regel schützt mich nicht gegen alles, denn Kunigunde und Gottfried kommen zusammen genau auf diesen Anteil. Persönliche Darlehen, Bürgschaften oder sonstige Belastungen dürfen deshalb nur mit meiner ausdrücklichen Zustimmung entstehen. Ich kann gegenwärtig keinen Betrag zusagen. Der erwähnte mögliche Bedarf von 40.000 EUR ist noch keine belastbare Planung. Eine Vorschau bis März muss her, bevor wir über Bank oder freiwillige Gesellschafterdarlehen reden.</w:t>
      </w:r>
    </w:p>
    <w:p>
      <w:r>
        <w:t>Ich möchte keine automatische Verwässerung, keine Sanktion durch Entzug meines Stimmrechts und keinen Verkaufszwang, wenn ich kein Geld nachschieße. Einen späteren freiwilligen Verkauf kann man getrennt besprechen. Eine Buchwertabfindung akzeptiere ich nicht. Ich möchte außerdem nicht dauerhaft alle streitigen Versammlungen leiten. Bei persönlichen Konflikten soll eine neutrale Leitung ordnungsgemäß gewählt werden; das vorhandene Septemberprotokoll bleibt unverändert.</w:t>
      </w:r>
    </w:p>
    <w:p>
      <w:pPr>
        <w:pStyle w:val="Heading1"/>
      </w:pPr>
      <w:r>
        <w:t>4 Abschluss und Gesprächskultur</w:t>
      </w:r>
    </w:p>
    <w:p>
      <w:r>
        <w:t>Eine begrenzte Moderation nach zwei gescheiterten Beratungen ist gut. Wenn wir uns nicht einmal über die Person einigen, gibt es eben noch keinen Moderator. Einseitige Ernennung und bindende Entscheidung über meinen Kopf hinweg lehne ich ab. Laufende Fristen dürfen deswegen nicht versäumt werden.</w:t>
      </w:r>
    </w:p>
    <w:p>
      <w:r>
        <w:t>Eine gemeinsame Mitteilung an Mitarbeiter soll nur die tatsächlich geklärten Zuständigkeiten benennen. Mein Name gehört nicht in einen Satz, der mich für alte Lieferungen verantwortlich macht. Ich unterstütze Vertraulichkeit, aber keine falschen Aussagen und kein Verschwindenlassen von Nachrichten. Jeder muss mit seinen Beratern und nötigenfalls mit Gericht oder Behörden sprechen können.</w:t>
      </w:r>
    </w:p>
    <w:p>
      <w:r>
        <w:t>Alle persönlichen Unterschriften und die gesonderte Vertretung der Gesellschaft müssen erkennbar sein. Ein Notar muss prüfen können, welche Punkte eine Beurkundung oder Registerumsetzung brauchen. Am 1. November kann nur beginnen, was wir zuvor wirksam vereinbart und umgesetzt haben. Falls bis zum 30. Oktober keine klare Fassung vorliegt, gilt nicht plötzlich die letzte Rundmail. Über unwirksame Teile müssten wir neu sprechen. Vor belegtem Vollzug soll keine Klage zurückgenommen werden. Auch eine allgemeine Erledigung unbekannter Ansprüche oder meiner persönlichen Rechte möchte ich nicht unterschreiben.</w:t>
      </w:r>
    </w:p>
    <w:p>
      <w:r>
        <w:t>Herzliche Grüße</w:t>
        <w:br/>
        <w:t>Ottilie Heller</w:t>
      </w:r>
    </w:p>
    <w:sectPr w:rsidR="00FC693F" w:rsidRPr="0006063C" w:rsidSect="00034616">
      <w:footerReference w:type="default" r:id="rId9"/>
      <w:pgSz w:w="11906" w:h="16838"/>
      <w:pgMar w:top="1077" w:right="1276" w:bottom="1077" w:left="1276"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2"/>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Persönliche Stellungnahme zur künftigen Zusammenarbeit</dc:title>
  <dc:subject/>
  <dc:creator>Ottilie Heller</dc:creator>
  <cp:keywords/>
  <dc:description>generated by python-docx</dc:description>
  <cp:lastModifiedBy/>
  <cp:revision>1</cp:revision>
  <dcterms:created xsi:type="dcterms:W3CDTF">2026-10-01T09:00:00Z</dcterms:created>
  <dcterms:modified xsi:type="dcterms:W3CDTF">2026-10-01T09:00:00Z</dcterms:modified>
  <cp:category/>
</cp:coreProperties>
</file>