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Heller</w:t>
        <w:br/>
        <w:t>Notizen aus dem Gespräch, ergänzt um die zugeordneten Entwurfsnummern um 14:45 Uhr</w:t>
      </w:r>
    </w:p>
    <w:p>
      <w:r>
        <w:t>An: Kunigunde Rabenstein; Gottfried Seidel; Walburga Fürst; Dr. Adelbert Feuchtwanger</w:t>
      </w:r>
    </w:p>
    <w:p>
      <w:r>
        <w:t>09.10.2026</w:t>
      </w:r>
    </w:p>
    <w:p>
      <w:pPr>
        <w:pStyle w:val="Title"/>
      </w:pPr>
      <w:r>
        <w:t>Gesprächsnotiz zum offenen Vergleichsrahmen</w:t>
      </w:r>
    </w:p>
    <w:p>
      <w:r>
        <w:t>Das Gespräch fand am 9. Oktober 2026 von 10:00 bis 11:25 Uhr telefonisch statt. Teilgenommen haben Kunigunde Rabenstein, Gottfried Seidel, Ottilie Heller, Rechtsanwältin Walburga Fürst für Seidel und Rechtsanwalt Dr. Adelbert Feuchtwanger für die Gesellschaft. Ich habe mit Zustimmung der Anwesenden mitgeschrieben. Es gibt keine Tonaufnahme. Die Zuordnung zu den Abschnitten der um 13:15 Uhr datierten Arbeitsfassung habe ich nach deren Eingang ergänzt; sie war noch nicht Grundlage des Gesprächs. Niemand hat diese Notiz gemeinsam unterschrieben oder als verbindlich bestätigt.</w:t>
      </w:r>
    </w:p>
    <w:p>
      <w:pPr>
        <w:pStyle w:val="Heading1"/>
      </w:pPr>
      <w:r>
        <w:t>1 Rollen und Verfahrensstand</w:t>
      </w:r>
    </w:p>
    <w:p>
      <w:r>
        <w:t>Dr. Feuchtwanger erklärte zu Beginn, dass er nur für die Gesellschaft spreche. Rabenstein und ich nehmen unsere persönlichen Rechte selbst wahr. Frau Fürst bestätigte ihr Mandat für Seidel. Die Beratung zu einer Einigung wurde gewünscht, eine Abschlussvollmacht aus dem Telefonat aber ausdrücklich nicht abgeleitet. Ob für die Gesellschaft neben der Geschäftsführervollmacht weitere gegenstandsbezogene Beschlüsse oder Vertretungsnachweise erforderlich sind, soll geprüft werden. Das Telefonat enthält keinen solchen Beschluss.</w:t>
      </w:r>
    </w:p>
    <w:p>
      <w:r>
        <w:t>Die Wiedervorlagen für Verteidigungsanzeige am heutigen 9. Oktober und Erwiderung am 23. Oktober wurden angesprochen. Eine beA-Eingangsbestätigung lag in den hier gemeinsam besprochenen Unterlagen nicht vor. Dr. Feuchtwanger verwies auf die getrennte Bearbeitung des Gerichtsausgangs durch die Kanzlei. Ich kann hier nur das Gespräch dokumentieren und bestätige keinen erfolgten Versand. Die Teilnehmer waren sich einig, aus Vergleichsgesprächen keine Fristverschiebung abzuleiten.</w:t>
      </w:r>
    </w:p>
    <w:p>
      <w:pPr>
        <w:pStyle w:val="Heading1"/>
      </w:pPr>
      <w:r>
        <w:t>2 Parteien und Beratungsfragen – Entwurfsabschnitte 1 und 2</w:t>
      </w:r>
    </w:p>
    <w:p>
      <w:r>
        <w:t>Alle nannten unverändert 25.000 EUR Stammkapital und die Beteiligungen 40, 35 und 25 Prozent. Gegenstand ist die bestehende GmbH mit Lichtbetrieb, kein neuer Beteiligungseinstieg. Grundlage waren Frau Fürsts Schreiben V02, Rabensteins Gegenposition V03 und mein Schreiben V04. Die beabsichtigte Vereinbarung soll persönliche Verpflichtungen der Gesellschafter und Pflichten der Gesellschaft klar unterscheiden. Gesellschaftsrechtliche Wirkungen sollen gesondert umgesetzt werden.</w:t>
      </w:r>
    </w:p>
    <w:p>
      <w:r>
        <w:t>V02 Abschnitt 4 und V03 Abschnitt 5 enthalten den Wunsch nach eigenen Beratungskosten je Partei und gesonderten Aufträgen für gemeinsame Vollzugskosten. Ich habe auf fünf Arbeitstagen Prüfungszeit für eine vollständige Endfassung bestanden. Rabenstein hielt dies für vernünftig, wollte aber die Prozessbearbeitung davon unabhängig halten. Die Prüfungsfrist fehlt noch im übersandten Entwurf; sie ist nachzutragen oder ausdrücklich abzulehnen. Es wurde kein gemeinsames Anwaltsmandat erteilt.</w:t>
      </w:r>
    </w:p>
    <w:p>
      <w:pPr>
        <w:pStyle w:val="Heading1"/>
      </w:pPr>
      <w:r>
        <w:t>3 Tätigkeit und Anstellung – Entwurfsabschnitte 3 und 4</w:t>
      </w:r>
    </w:p>
    <w:p>
      <w:r>
        <w:t>Seidel wiederholte V02 Abschnitt 1: künftige Bestellung, zunächst sechs Monate gemeinsame Vertretung. Rabenstein bevorzugt entsprechend V03 Abschnitt 1 eine technische Übergangsrolle bis zum 31. Januar 2027. Seidel hält drei Projekttage für machbar; eine zusätzliche Störungsbereitschaft bleibt ungeklärt. Ich habe eine Vertretung für die übrigen Tage verlangt. Eine organisatorische Entscheidung wurde nicht getroffen.</w:t>
      </w:r>
    </w:p>
    <w:p>
      <w:r>
        <w:t>Die Oktobervergütung bleibt gesondert anhand des Anstellungsvertrags zu prüfen. Niemand behauptete, der Septemberbeschluss habe diesen Vertrag automatisch beendet. Zugang, Aufgabenbeschreibung, Haftpflichtdeckung und Weisungsweg stehen noch aus. Der Vertragsentwurf darf die offene Organfrage deshalb nicht mit einer Funktionsbezeichnung entscheiden.</w:t>
      </w:r>
    </w:p>
    <w:p>
      <w:pPr>
        <w:pStyle w:val="Heading1"/>
      </w:pPr>
      <w:r>
        <w:t>4 Freigaben und Eigengeschäfte – Entwurfsabschnitte 5 und 6</w:t>
      </w:r>
    </w:p>
    <w:p>
      <w:r>
        <w:t>Aus V02 Abschnitt 2 und V03 Abschnitt 2 ergeben sich die konkurrierenden Grenzen von 10.000 und 7.500 EUR brutto. Zusammenrechnung verbundener Bestellungen, Nachweis des Preises und eine dokumentierte zweite Entscheidung wurden als Arbeitsgrundlage akzeptiert. Wer im späteren Organmodell tatsächlich befugt wäre, ist noch zu bestimmen. Die Buchhaltung soll nicht die fehlende zweite Geschäftsführungsentscheidung ersetzen.</w:t>
      </w:r>
    </w:p>
    <w:p>
      <w:r>
        <w:t>Bei Geschäften mit Seidels Einzelfirma verlangt Rabenstein eine vorläufige Sperre, Seidel dagegen die Möglichkeit ordnungsgemäß freigegebener Einzelaufträge. V04 Abschnitt 2 verlangt getrennte Prüfung von Stimmrecht und Vertragsvertretung. Niemand erklärte eine allgemeine Befreiung vom Selbstkontrahierungsverbot oder die nachträgliche Genehmigung der Augustzahlung. Der Unterschied zwischen interner Pflicht und Wirkung gegenüber Lieferanten wurde angesprochen, ohne einzelne bestehende Verträge abschließend zu bewerten.</w:t>
      </w:r>
    </w:p>
    <w:p>
      <w:pPr>
        <w:pStyle w:val="Heading1"/>
      </w:pPr>
      <w:r>
        <w:t>5 Rechnung – Entwurfsabschnitt 7</w:t>
      </w:r>
    </w:p>
    <w:p>
      <w:r>
        <w:t>Seidels Grenze von 2.380 EUR stammt aus V02 Abschnitt 2; Rabensteins gewünschte vorläufige Zahlung von 3.500 EUR aus V03 Abschnitt 2. Mein Vorschlag einer Verwahrung aus V04 Abschnitt 2 ist eine dritte Möglichkeit, keine angenommene Zwischenlösung. Eine geeignete Stelle wurde nicht benannt. Die beiden Beträge sind Verhandlungspositionen und keine gemeinsam festgestellte Forderung.</w:t>
      </w:r>
    </w:p>
    <w:p>
      <w:r>
        <w:t>Die Teilnehmer wollen verfügbare Belege möglichst bis zum 16. Oktober sammeln und einen gemeinsam beauftragten Prüfer bis zum 22. Oktober befragen. Auftrag, Person und Preis stehen aus. Einwendungen sollen drei Arbeitstage möglich bleiben. Frau Fürst widersprach einer automatischen Verbindlichkeit des Prüferberichts. Die unterschiedliche Herkunft der Gerätedaten bleibt sichtbar. Die erste Klagebehauptung wird durch dieses Gespräch weder stillschweigend berichtigt noch als gemeinsam richtig bestätigt; ihre prozessuale Behandlung obliegt der jeweiligen Vertretung.</w:t>
      </w:r>
    </w:p>
    <w:p>
      <w:pPr>
        <w:pStyle w:val="Heading1"/>
      </w:pPr>
      <w:r>
        <w:t>6 Information und Mehrheiten – Entwurfsabschnitte 8 und 9</w:t>
      </w:r>
    </w:p>
    <w:p>
      <w:r>
        <w:t>V02 Abschnitt 3, V03 Abschnitt 3 und V04 Abschnitt 1 begründen den monatlichen Bericht und geschützten Lesezugang. Ich kann vorhandene Zahlen liefern, übernehme aber keine persönliche Garantie. Eine konkrete Bereitstellung ist noch zu organisieren. Gesetzliche Informationsrechte sollen davon unabhängig bleiben.</w:t>
      </w:r>
    </w:p>
    <w:p>
      <w:r>
        <w:t>Die vorgeschlagenen 75 Prozent beziehen sich nach den Äußerungen auf das gesamte Stammkapital und auf einen begrenzten Katalog. Dies darf nicht mit der jetzigen Satzungsregel über abgegebene Stimmen verwechselt werden. Ich habe darauf hingewiesen, dass die 75-Prozent-Schwelle mir kein eigenes Vetorecht gibt und keine persönlichen Finanzierungspflichten ohne meine Zustimmung begründen soll. Satzungsänderung, schuldrechtliche Zustimmungspflicht und gesetzliches Stimmverbot müssen im späteren Text getrennt erkennbar sein. Eine neutrale Versammlungsleitung wird gewünscht, aber im Einzelfall ordnungsgemäß gewählt. Die alte Niederschrift wird nicht ersetzt.</w:t>
      </w:r>
    </w:p>
    <w:p>
      <w:pPr>
        <w:pStyle w:val="Heading1"/>
      </w:pPr>
      <w:r>
        <w:t>7 Finanzierung und Konfliktlösung – Entwurfsabschnitte 10 und 11</w:t>
      </w:r>
    </w:p>
    <w:p>
      <w:r>
        <w:t>V03 Abschnitt 4 schlägt freiwillige anteilige Darlehen vor, V02 Abschnitt 3 vorherige Bankprüfung. V04 Abschnitt 3 schließt meine automatische Finanzierung und Verwässerung aus. Die 40.000 EUR sind ein vorsorglicher Gesprächsbetrag. Rabenstein will bis zum 30. Oktober eine Vorschau bis März 2027 erstellen lassen. Niemand hat Geld zugesagt, Kapital übernommen oder eine Kapitalerhöhung beschlossen.</w:t>
      </w:r>
    </w:p>
    <w:p>
      <w:r>
        <w:t>V02 Abschnitt 4 und V04 Abschnitt 4 begründen die begrenzte Moderation ohne einseitige Ernennung, Schiedsentscheidung oder Fristhemmung. Rabenstein erklärte hierzu entsprechend V03 Abschnitt 5 Gesprächsbereitschaft. Niemand möchte eine Buchwertklausel oder einen automatischen Verkauf. Ein späterer freiwilliger Verkauf bleibt ein eigener Vorgang einschließlich Formprüfung.</w:t>
      </w:r>
    </w:p>
    <w:p>
      <w:pPr>
        <w:pStyle w:val="Heading1"/>
      </w:pPr>
      <w:r>
        <w:t>8 Kommunikation und Prozess – Entwurfsabschnitte 12 und 13</w:t>
      </w:r>
    </w:p>
    <w:p>
      <w:r>
        <w:t>Die Positionen zur Vertraulichkeit und Beweissicherung stehen jeweils im letzten Abschnitt der drei Briefe. Seidel verlangt Zustimmung zur Betriebsmitteilung; Rabenstein wünscht eine Mitteilung über wirksame Zuständigkeiten; ich möchte keine unzutreffende Zuschreibung eigener Verantwortung. Es wurde kein gemeinsamer Text beschlossen und keine absolute Unverwertbarkeit von Verhandlungsmaterial zugesichert.</w:t>
      </w:r>
    </w:p>
    <w:p>
      <w:r>
        <w:t>V02 Abschnitt 4 enthält das Angebot, eigene Anwaltskosten zu tragen und Gerichtskosten zu halbieren. V03 Abschnitt 5 hält die Gesellschaftszustimmung offen. V04 Abschnitt 4 verlangt, persönliche Rechte nicht pauschal abzugelten. Der genaue Umfang eines späteren Prozessvergleichs muss gesondert ausgearbeitet werden. Anstellungsansprüche und unbekannte Ansprüche sind bislang nicht abschließend erfasst. Vor erfüllten Bedingungen wird keine Prozessbeendigung versprochen.</w:t>
      </w:r>
    </w:p>
    <w:p>
      <w:pPr>
        <w:pStyle w:val="Heading1"/>
      </w:pPr>
      <w:r>
        <w:t>9 Unterschriften und Vollzug – Entwurfsabschnitt 14</w:t>
      </w:r>
    </w:p>
    <w:p>
      <w:r>
        <w:t>Alle drei Briefe verlangen persönliche Unterschriften und eine gesonderte legitimierte Vertretung der Gesellschaft. Erforderliche Organentscheidungen, Satzungsform, registerrechtliche Wirkungen und eine mögliche Beurkundung der Gesamtvereinbarung sind vorab zu klären. Die vorhandene Unterschriftenmappe aus dem Nachtrag ist kein Nachweis einer schon ausreichenden Prozess- oder Abschlussvollmacht.</w:t>
      </w:r>
    </w:p>
    <w:p>
      <w:r>
        <w:t>1. November ist gewünschter Beginn, 30. Oktober ein Redaktionsziel. Ohne vollständige Regelung und belegten Vollzug wird daraus kein automatischer Vertrag. Die Parteien sollen bei unwirksamen Bestimmungen neu verhandeln, wie V02 Abschnitt 4 und V04 Abschnitt 4 verlangen. Frau Fürst hat angekündigt, zunächst die konkurrierenden Regelungen lesbar zusammenzuführen. Dr. Feuchtwanger soll sodann aus Gesellschaftssicht überarbeiten. Dieser nächste Arbeitsschritt ist keine Billigung des um 13:15 Uhr entstandenen Entwurfs.</w:t>
      </w:r>
    </w:p>
    <w:p>
      <w:r>
        <w:t>Ottilie Heller</w:t>
        <w:br/>
        <w:t>Gesprächsnotiz, versandt zur Korrektur am 09.10.2026 um 15:10 Uhr</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Gesprächsnotiz zum offenen Vergleichsrahmen</dc:title>
  <dc:subject/>
  <dc:creator>Ottilie Heller</dc:creator>
  <cp:keywords/>
  <dc:description>generated by python-docx</dc:description>
  <cp:lastModifiedBy/>
  <cp:revision>1</cp:revision>
  <dcterms:created xsi:type="dcterms:W3CDTF">2026-10-01T09:00:00Z</dcterms:created>
  <dcterms:modified xsi:type="dcterms:W3CDTF">2026-10-01T09:00:00Z</dcterms:modified>
  <cp:category/>
</cp:coreProperties>
</file>