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Arbeitsentwurf zur Einstufung von Aktenklar</w:t>
      </w:r>
    </w:p>
    <w:p>
      <w:r>
        <w:t>Dr. Noura Seidlein | interner Entwurf | Stand 7. Oktober 2026</w:t>
      </w:r>
    </w:p>
    <w:p>
      <w:pPr>
        <w:pStyle w:val="Heading1"/>
      </w:pPr>
      <w:r>
        <w:t>1 Gegenstand und Tatsachenstand</w:t>
      </w:r>
    </w:p>
    <w:p>
      <w:r>
        <w:t>Dieser Entwurf soll die Versionen 1.4, 2.0 und die Demonstration 2.1 getrennt beurteilen. Die Projektstelle beschafft das Werkzeug für eine spätere gerichtliche Verwendung. Die Testakten sind synthetisch; echte richterliche Entscheidungen oder eine Freigabe für Echtdaten sind nicht Bestandteil dieses Vorgangs. Der endgültig vorgesehene Nutzerkreis und die technische Abschaltung nicht beschaffter Module sind noch schriftlich zu bestätigen.</w:t>
      </w:r>
    </w:p>
    <w:p>
      <w:pPr>
        <w:pStyle w:val="Heading1"/>
      </w:pPr>
      <w:r>
        <w:t>2 Vorläufiger Ansatz</w:t>
      </w:r>
    </w:p>
    <w:p>
      <w:r>
        <w:t>Für die eigentliche Rechtsprüfung ist zu klären, welche Funktion das jeweilige System im Verhältnis zur menschlichen Arbeit übernimmt. Die Paginierung soll Akten erschließen. Die Entwurfsfunktion verarbeitet den Sachverhalt und schlägt eine rechtliche Bewertung vor. Die Demonstration versieht Aussagen zusätzlich mit personenbezogenen Zuverlässigkeitswerten. Das Wort Assistenz beschreibt diese Unterschiede nicht hinreichend.</w:t>
      </w:r>
    </w:p>
    <w:p>
      <w:r>
        <w:t>Die Anbietererklärung vom 29. September verweist auf menschliche Letztentscheidung. Ob damit alle Voraussetzungen einer Ausnahme erfüllt sind, muss anhand des aktuellen Wortlauts und der tatsächlichen Auswahlwirkung geprüft werden. Der Relevanzfilter und die nur teilweise vollständige Originalsichtung sind dabei einzubeziehen. Eine fehlende echte Gerichtsentscheidung im Test besagt noch nicht, welche Zweckbestimmung für den späteren Betrieb vereinbart werden soll.</w:t>
      </w:r>
    </w:p>
    <w:p>
      <w:pPr>
        <w:pStyle w:val="Heading1"/>
      </w:pPr>
      <w:r>
        <w:t>3 Auszuarbeitende rechtliche Bewertung</w:t>
      </w:r>
    </w:p>
    <w:p>
      <w:r>
        <w:t>Die abschließende Fassung soll den einschlägigen Anhang-III-Untertatbestand, die vier alternativen Bedingungen des Artikels 6 Absatz 3 und eine etwaige persönliche Bewertung getrennt subsumieren. Der Produktpfad ist anhand der tatsächlichen Softwarefunktion zu prüfen, ohne ihn aus der bloßen Nutzung in der Justiz herzuleiten. Die Bewertung der Kanzleikonfiguration ist nur soweit nötig zur Abgrenzung heranzuziehen; sie ist nicht die gerichtliche Testinstanz.</w:t>
      </w:r>
    </w:p>
    <w:p>
      <w:r>
        <w:t>Die zeitliche Anwendung der einzelnen Pflichten und ein etwaiges Bestandsrecht sind noch einzutragen. Der geplante Start im Januar 2028 ist nicht bestätigt. Es fehlen weiterhin die endgültige Zweckbeschreibung, die Erklärung zum Relevanzfilter und eine belastbare Beschreibung des Umfangs der menschlichen Prüfung. Die Rechtsberatung soll die offenen Punkte als konkrete Tatsachenfragen in ein Anbieteranschreiben übersetzen und die bereits entscheidbaren Teile vollständig begründen.</w:t>
      </w:r>
    </w:p>
    <w:p>
      <w:pPr>
        <w:pStyle w:val="Heading1"/>
      </w:pPr>
      <w:r>
        <w:t>4 Geplante Entscheidungsvorlage</w:t>
      </w:r>
    </w:p>
    <w:p>
      <w:r>
        <w:t>Die Projektleitung möchte für jede Version wissen, welcher Einsatz auf welcher Tatsachengrundlage beurteilt wurde und welche Änderung eine erneute Prüfung auslöst. Eine allgemeine Freigabe aller Module ist nicht beantragt. Die endgültige Empfehlung sowie die verantwortliche Zeichnung werden nach fachlicher und rechtlicher Beratung ergänzt. Bis dahin bleibt dies ein Arbeitsentwurf ohne Außenwirkung.</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Arbeitsentwurf zur Einstufung von Aktenklar</dc:title>
  <dc:subject/>
  <dc:creator>Dr. Noura Seidlein | interner Entwurf | Stand 7. Oktober 2026</dc:creator>
  <cp:keywords/>
  <dc:description>generated by python-docx</dc:description>
  <cp:lastModifiedBy/>
  <cp:revision>1</cp:revision>
  <dcterms:created xsi:type="dcterms:W3CDTF">2026-10-09T08:00:00Z</dcterms:created>
  <dcterms:modified xsi:type="dcterms:W3CDTF">2026-10-09T08:00:00Z</dcterms:modified>
  <cp:category/>
</cp:coreProperties>
</file>