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Juna Scheuerlein</w:t>
        <w:br/>
        <w:t>Landkreis Fuldatal</w:t>
      </w:r>
    </w:p>
    <w:p>
      <w:r>
        <w:t>An: Verwaltungsleitung</w:t>
      </w:r>
    </w:p>
    <w:p>
      <w:r>
        <w:t>09.10.2026</w:t>
      </w:r>
    </w:p>
    <w:p>
      <w:pPr>
        <w:pStyle w:val="Title"/>
      </w:pPr>
      <w:r>
        <w:t>Entwurf einer bedingten Einführungsentscheidung</w:t>
      </w:r>
    </w:p>
    <w:p>
      <w:pPr>
        <w:pStyle w:val="Heading1"/>
      </w:pPr>
      <w:r>
        <w:t>1. Gegenstand der vorgeschlagenen Entscheidung</w:t>
      </w:r>
    </w:p>
    <w:p>
      <w:pPr/>
      <w:r>
        <w:t>Die Verwaltungsleitung soll über die weitere Vorbereitung der Antragspriorisierung entscheiden. Vorgeschlagen wird, die interne Planung fortzuführen, den produktiven Einsatz jedoch von einer nach Versionen getrennten rechtlichen Bewertung und der Erfüllung der daraus folgenden Voraussetzungen abhängig zu machen. Dieser Text ist ein noch zu vervollständigender Entwurf; eine Freigabe wurde nicht erteilt.</w:t>
      </w:r>
    </w:p>
    <w:p>
      <w:pPr>
        <w:pStyle w:val="Heading1"/>
      </w:pPr>
      <w:r>
        <w:t>2. Zu ergänzende fachliche Begründung</w:t>
      </w:r>
    </w:p>
    <w:p>
      <w:pPr/>
      <w:r>
        <w:t>[Die beauftragte juristische Bearbeitung ergänzt hier die Bewertung der tatsächlichen Funktion von Version 2.0 und ihrer Abgrenzung zu Version 1.1.] Dabei ist ausdrücklich zu erklären, welche Bedeutung persönliche Dringlichkeitsbewertungen und die Voreinstellung der Reihenfolge haben. Die bloße Möglichkeit einer menschlichen Änderung wird nicht als abschließender Nachweis wirksamer Kontrolle behandelt.</w:t>
      </w:r>
    </w:p>
    <w:p>
      <w:pPr>
        <w:pStyle w:val="Heading1"/>
      </w:pPr>
      <w:r>
        <w:t>3. Verfahrensvoraussetzungen</w:t>
      </w:r>
    </w:p>
    <w:p>
      <w:pPr/>
      <w:r>
        <w:t>Vor dem geplanten Einsatz am 6. Dezember 2027 sind die einschlägigen Zuständigkeiten, gegebenenfalls notwendige Registerdaten und eine erforderliche Grundrechte-Folgenabschätzung vollständig vorzubereiten. Ob und welche Schritte konkret erforderlich sind, wird durch die rechtliche Prüfung ergänzt. Der aktuelle Planungsstand darf nicht als bereits erfolgte Registrierung dargestellt werden. Ein tatsächlicher Datenbankzugang wurde nicht eingerichtet.</w:t>
      </w:r>
    </w:p>
    <w:p>
      <w:pPr>
        <w:pStyle w:val="Heading1"/>
      </w:pPr>
      <w:r>
        <w:t>4. Verantwortung und Wiedervorlage</w:t>
      </w:r>
    </w:p>
    <w:p>
      <w:pPr/>
      <w:r>
        <w:t>Die Projektleitung soll den Anbieter zu den offenen Tatsachen anschreiben. Das Justiziariat soll die ausgearbeiteten Ergebnisse erneut vorlegen. Die technische Umsetzung darf erst nach einer gesonderten dokumentierten Entscheidung der zuständigen Leitung beginnen. Für die Wiedervorlage wird vorläufig der 15. November 2027 vorgeschlagen; dies ist ein interner Planungstermin und keine behauptete gesetzliche Frist.</w:t>
      </w:r>
    </w:p>
    <w:p>
      <w:pPr/>
      <w:r>
        <w:t>Dr. Juna Scheuerlein</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einer bedingten Einführungsentscheidung</dc:title>
  <dc:subject/>
  <dc:creator>Dr. Juna Scheuerlein</dc:creator>
  <cp:keywords/>
  <dc:description>generated by python-docx</dc:description>
  <cp:lastModifiedBy/>
  <cp:revision>1</cp:revision>
  <dcterms:created xsi:type="dcterms:W3CDTF">2026-10-09T12:00:00Z</dcterms:created>
  <dcterms:modified xsi:type="dcterms:W3CDTF">2026-10-09T12:00:00Z</dcterms:modified>
  <cp:category/>
</cp:coreProperties>
</file>