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Organisationsauftrag Objektverwaltung Gotenstraße 73</w:t>
      </w:r>
    </w:p>
    <w:p>
      <w:pPr>
        <w:jc w:val="left"/>
      </w:pPr>
      <w:r>
        <w:t>Südquadrat Wohnen GmbH | Dominicusstraße 28 | 10827 Berlin</w:t>
      </w:r>
    </w:p>
    <w:p>
      <w:pPr>
        <w:jc w:val="left"/>
      </w:pPr>
      <w:r>
        <w:t>Geschäftsführer: Elias Brenner | elias.brenner@suedquadrat-wohnen.de</w:t>
      </w:r>
    </w:p>
    <w:p>
      <w:pPr>
        <w:jc w:val="left"/>
      </w:pPr>
      <w:r>
        <w:t>An Anne Kroll, interne Verwaltung, im Hause</w:t>
      </w:r>
    </w:p>
    <w:p>
      <w:pPr>
        <w:jc w:val="left"/>
      </w:pPr>
      <w:r>
        <w:t>Kopie für die Objektbuchhaltung | anne.kroll@suedquadrat-wohnen.de</w:t>
      </w:r>
    </w:p>
    <w:p>
      <w:pPr>
        <w:jc w:val="left"/>
      </w:pPr>
      <w:r>
        <w:t>Berlin, 2. Januar 2025 | Gültig ab 1. Januar 2025 | Objekt GO73</w:t>
      </w:r>
    </w:p>
    <w:p>
      <w:pPr>
        <w:pStyle w:val="Heading2"/>
      </w:pPr>
      <w:r>
        <w:rPr>
          <w:rFonts w:ascii="Times New Roman" w:hAnsi="Times New Roman"/>
        </w:rPr>
        <w:t>1 Objekt und organisatorische Zuordnung</w:t>
      </w:r>
    </w:p>
    <w:p>
      <w:pPr>
        <w:jc w:val="left"/>
      </w:pPr>
      <w:r>
        <w:t>Die Südquadrat Wohnen GmbH ist alleinige Eigentümerin und Vermieterin der Liegenschaft Gotenstraße 73, 10829 Berlin-Schöneberg. Anne Kroll übernimmt im Rahmen ihrer Tätigkeit für die Gesellschaft die laufende Objekt- und Mietverwaltung. Es handelt sich um eine interne Aufgabenverteilung, nicht um einen Verwaltungsvertrag mit einer Wohnungseigentümergemeinschaft. Das Gebäude wurde 2010 errichtet und enthält acht Wohnungen mit insgesamt 800 m² Wohnfläche sowie sechs separat vermietete Tiefgaragenstellplätze.</w:t>
      </w:r>
    </w:p>
    <w:p>
      <w:pPr>
        <w:jc w:val="left"/>
      </w:pPr>
      <w:r>
        <w:t>Die Einheiten werden in der Buchhaltung fortlaufend als WE01 bis WE08 bezeichnet. Diese Kürzel dienen der Zuordnung von Mietkonten und technischen Meldungen. Für Wohnung 04 sind Fabian und Miriam Öztürk als Mieter seit 1. September 2023, 108 m² Wohnfläche sowie kein mitvermieteter Stellplatz hinterlegt. Die Mietverträge bleiben Grundlage der wohnungsbezogenen Abrechnung.</w:t>
      </w:r>
    </w:p>
    <w:p>
      <w:pPr>
        <w:pStyle w:val="Heading2"/>
      </w:pPr>
      <w:r>
        <w:rPr>
          <w:rFonts w:ascii="Times New Roman" w:hAnsi="Times New Roman"/>
        </w:rPr>
        <w:t>2 Laufende Betreuung</w:t>
      </w:r>
    </w:p>
    <w:p>
      <w:pPr>
        <w:jc w:val="left"/>
      </w:pPr>
      <w:r>
        <w:t>Anne Kroll nimmt Meldungen der Bewohner entgegen, stimmt Zutritte und Handwerkertermine ab und hält den Schriftwechsel in der Objektakte vor. Die laufende Betreuung des Hausdienstes umfasst dessen Monatsnachweise, Hinweise auf ausgefallene Termine und die Rückmeldung über erledigte Arbeiten. Zusatzleistungen werden mit ihrem Anlass erfasst. Eine Bezeichnung als Hausdienst ersetzt nicht die Beschreibung der tatsächlich ausgeführten Tätigkeit.</w:t>
      </w:r>
    </w:p>
    <w:p>
      <w:pPr>
        <w:jc w:val="left"/>
      </w:pPr>
      <w:r>
        <w:t>Die Objektbuchhaltung erhält Rechnungen mit Leistungszeitraum, Vorgangszuordnung und vorhandenen Leistungsbelegen. Wartungen, Reparaturen und Angebotsunterlagen werden als solche abgelegt. Bei Schäden enthält der Vorgang das Datum der ersten Feststellung, den betroffenen Gebäudeteil und die Rückmeldung des ausführenden Unternehmens. Eine Meldung an einen Versicherer wird getrennt von einer späteren Erstattungsentscheidung dokumentiert.</w:t>
      </w:r>
    </w:p>
    <w:p>
      <w:pPr>
        <w:jc w:val="left"/>
      </w:pPr>
      <w:r>
        <w:t>Aus der internen Verwaltungstätigkeit entsteht keine Rechnung eines externen WEG-Verwalters. Personal- und Bürokosten der Gesellschaft werden auf den hierfür geführten Unternehmensbereichen erfasst. Anne Kroll nimmt keine eigene Vergütung von einzelnen Mietern entgegen und schließt keine gesonderten Verwaltungsverträge mit ihnen.</w:t>
      </w:r>
    </w:p>
    <w:p>
      <w:pPr>
        <w:pStyle w:val="Heading2"/>
      </w:pPr>
      <w:r>
        <w:rPr>
          <w:rFonts w:ascii="Times New Roman" w:hAnsi="Times New Roman"/>
        </w:rPr>
        <w:t>3 Mietkonten und Abrechnung</w:t>
      </w:r>
    </w:p>
    <w:p>
      <w:pPr>
        <w:jc w:val="left"/>
      </w:pPr>
      <w:r>
        <w:t>Die Mietbuchhaltung führt Nettokaltmiete und Betriebskostenvorauszahlungen getrennt. Für Wohnung 04 sind bei unverändertem Vertragsstand monatlich 1.450,00 Euro Nettokaltmiete, 180,00 Euro Vorauszahlung für übrige Betriebskosten und 120,00 Euro Vorauszahlung für Heizung und Warmwasser vorgesehen. Änderungen werden mit ihrem Beginn gespeichert. Die tatsächlichen Zahlungseingänge bleiben daneben mit Bankdatum und Verwendungszweck nachvollziehbar.</w:t>
      </w:r>
    </w:p>
    <w:p>
      <w:pPr>
        <w:jc w:val="left"/>
      </w:pPr>
      <w:r>
        <w:t>Die Jahresabrechnung wird für das Kalenderjahr vorbereitet. Anne Kroll stellt dafür die Objektbelege, die vertraglichen Flächenangaben, die Heiz- und Warmwasserabrechnung sowie die wohnungsbezogenen Vorauszahlungen zusammen. Elias Brenner erhält die Versandfassung zur Freigabe. Das Ausfertigungsdatum und der tatsächliche Versand werden getrennt notiert. Ein Schreiben an Mieter wird im Namen der Südquadrat Wohnen GmbH versandt.</w:t>
      </w:r>
    </w:p>
    <w:p>
      <w:pPr>
        <w:jc w:val="left"/>
      </w:pPr>
      <w:r>
        <w:t>Gehen nach dem Versand neue Belege, Gutschriften oder Hinweise auf eine Buchungsabweichung ein, bleiben die ursprüngliche Abrechnung und der ursprüngliche Versandvermerk erhalten. Ein geänderter Stand wird neu datiert und erneut freigegeben. Mündliche Rückfragen, reine Eingangsbestätigungen und eine neue Abrechnung werden in der Korrespondenz nicht unter demselben Dokumenttitel abgelegt.</w:t>
      </w:r>
    </w:p>
    <w:p>
      <w:pPr>
        <w:pStyle w:val="Heading2"/>
      </w:pPr>
      <w:r>
        <w:rPr>
          <w:rFonts w:ascii="Times New Roman" w:hAnsi="Times New Roman"/>
        </w:rPr>
        <w:t>4 Besondere Objektbereiche</w:t>
      </w:r>
    </w:p>
    <w:p>
      <w:pPr>
        <w:jc w:val="left"/>
      </w:pPr>
      <w:r>
        <w:t>Die Gesellschaft betreibt die Dachphotovoltaikanlage mit einer installierten Leistung von 12 kWp. Betrieb und Abrechnung der Einspeisung werden in einem eigenen Vorgang dokumentiert. Ein Mieterstromprodukt wird gegenwärtig nicht angeboten. Haushaltsstromverträge der Bewohner bestehen unabhängig davon. Ein privates Balkonkraftwerk an Wohnung 02 bleibt der betreffenden Mietpartei zugeordnet.</w:t>
      </w:r>
    </w:p>
    <w:p>
      <w:pPr>
        <w:jc w:val="left"/>
      </w:pPr>
      <w:r>
        <w:t>Die sechs Tiefgaragenstellplätze werden über eigene Stellplatzverträge verwaltet. Angebote zur Ladeinfrastruktur werden bis zu einer ausdrücklichen Geschäftsführungsentscheidung ausschließlich als Projektunterlagen geführt. Eine Besichtigung durch ein Elektrofachunternehmen begründet keine Beauftragung. Eine Bestellung, Abnahme oder Inbetriebnahme erhält jeweils einen eigenen schriftlichen Nachweis.</w:t>
      </w:r>
    </w:p>
    <w:p>
      <w:pPr>
        <w:pStyle w:val="Heading2"/>
      </w:pPr>
      <w:r>
        <w:rPr>
          <w:rFonts w:ascii="Times New Roman" w:hAnsi="Times New Roman"/>
        </w:rPr>
        <w:t>5 Befugnisse und Dokumentation</w:t>
      </w:r>
    </w:p>
    <w:p>
      <w:pPr>
        <w:jc w:val="left"/>
      </w:pPr>
      <w:r>
        <w:t>Laufende Termine und Maßnahmen innerhalb bereits erteilter Dienstleistungsaufträge koordiniert Anne Kroll eigenständig. Neue Bauaufträge, Vergleiche, Verzichtserklärungen und gerichtliche Verfahren bleiben der Freigabe durch Elias Brenner vorbehalten. Bei akuten Gefahren darf die Verwaltung erforderliche Sicherungsmaßnahmen veranlassen und unterrichtet die Geschäftsführung anschließend über den Anlass und den Umfang.</w:t>
      </w:r>
    </w:p>
    <w:p>
      <w:pPr>
        <w:jc w:val="left"/>
      </w:pPr>
      <w:r>
        <w:t>Die Belege bleiben im Bestand der Gesellschaft. Einsichtstermine werden mit den betroffenen Mietern vereinbart und in einem Besuchsvermerk festgehalten. Persönliche Daten anderer Mietparteien werden nicht zur allgemeinen Einsicht ausgelegt. Bei Abwesenheit von Anne Kroll nimmt die Geschäftsführung dringende Meldungen entgegen; die Dokumentation wird anschließend in derselben Objektakte ergänzt.</w:t>
      </w:r>
    </w:p>
    <w:p>
      <w:pPr>
        <w:jc w:val="left"/>
      </w:pPr>
      <w:r>
        <w:t>Berlin, 2. Januar 2025</w:t>
      </w:r>
    </w:p>
    <w:p>
      <w:pPr>
        <w:jc w:val="left"/>
      </w:pPr>
      <w:r>
        <w:t>Unterschriftszeile Geschäftsführung: Elias Brenner, Namensangabe in der Abschrift</w:t>
      </w:r>
    </w:p>
    <w:p>
      <w:pPr>
        <w:jc w:val="left"/>
      </w:pPr>
      <w:r>
        <w:t>Kenntnisnahme interne Verwaltung: Anne Kroll,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Südquadrat Wohnen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Südquadrat Wohnen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