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Hausdienst Gotenstraße 73 Monatsnachweis 2025</w:t>
      </w:r>
    </w:p>
    <w:p>
      <w:pPr>
        <w:jc w:val="left"/>
      </w:pPr>
      <w:r>
        <w:t>Ringhof Hausdienst GmbH | Naumannstraße 32 | 10829 Berlin</w:t>
      </w:r>
    </w:p>
    <w:p>
      <w:pPr>
        <w:jc w:val="left"/>
      </w:pPr>
      <w:r>
        <w:t>Objektleitung: Jule Martens | jule.martens@ringhof-hausdienst.de</w:t>
      </w:r>
    </w:p>
    <w:p>
      <w:pPr>
        <w:jc w:val="left"/>
      </w:pPr>
      <w:r>
        <w:t>An Südquadrat Wohnen GmbH, Anne Kroll, Dominicusstraße 28, 10827 Berlin</w:t>
      </w:r>
    </w:p>
    <w:p>
      <w:pPr>
        <w:jc w:val="left"/>
      </w:pPr>
      <w:r>
        <w:t>Berlin, 16. Januar 2026 | Objekt GO73 | Nachweis aus den Monatszetteln des Hausdienstes</w:t>
      </w:r>
    </w:p>
    <w:p>
      <w:pPr>
        <w:pStyle w:val="Heading2"/>
      </w:pPr>
      <w:r>
        <w:rPr>
          <w:rFonts w:ascii="Times New Roman" w:hAnsi="Times New Roman"/>
        </w:rPr>
        <w:t>1 Grundlage</w:t>
      </w:r>
    </w:p>
    <w:p>
      <w:pPr>
        <w:jc w:val="left"/>
      </w:pPr>
      <w:r>
        <w:t>Für das Objekt Gotenstraße 73 wurde im gesamten Jahr 2025 die vereinbarte Hausdienstpauschale von 800,00 Euro brutto monatlich berechnet. Die zwölf Monatsrechnungen betragen zusammen 9.600,00 Euro brutto, bevor die separat ausgestellte Gutschrift berücksichtigt wird. Der Vertrag enthält Reinigung, Winterdienst, laufende Objektkontrollen und kleinere technische Arbeiten. Die tatsächlichen Einsätze sind nach ihrer Tätigkeit erfasst.</w:t>
      </w:r>
    </w:p>
    <w:p>
      <w:pPr>
        <w:jc w:val="left"/>
      </w:pPr>
      <w:r>
        <w:t>Die Stundenübersicht ist ein Tätigkeitsnachweis und keine nachträgliche Stundenabrechnung. Die Pauschale wurde bei saisonal unterschiedlichem Arbeitsanfall nicht verändert. Reinigung und Winterdienst werden durch Ringhof im bestehenden Auftrag erbracht. Eine zweite monatliche Reinigungspauschale wurde von Ringhof nicht vereinbart.</w:t>
      </w:r>
    </w:p>
    <w:p>
      <w:pPr>
        <w:pStyle w:val="Heading2"/>
      </w:pPr>
      <w:r>
        <w:rPr>
          <w:rFonts w:ascii="Times New Roman" w:hAnsi="Times New Roman"/>
        </w:rPr>
        <w:t>2 Monatswerte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Monat 2025</w:t>
            </w:r>
          </w:p>
        </w:tc>
        <w:tc>
          <w:tcPr>
            <w:tcW w:type="dxa" w:w="1512"/>
          </w:tcPr>
          <w:p>
            <w:r>
              <w:rPr>
                <w:rFonts w:ascii="Times New Roman" w:hAnsi="Times New Roman"/>
                <w:b/>
                <w:sz w:val="20"/>
              </w:rPr>
              <w:t>Reinigung Stunden</w:t>
            </w:r>
          </w:p>
        </w:tc>
        <w:tc>
          <w:tcPr>
            <w:tcW w:type="dxa" w:w="1512"/>
          </w:tcPr>
          <w:p>
            <w:r>
              <w:rPr>
                <w:rFonts w:ascii="Times New Roman" w:hAnsi="Times New Roman"/>
                <w:b/>
                <w:sz w:val="20"/>
              </w:rPr>
              <w:t>Winterdienst Stunden</w:t>
            </w:r>
          </w:p>
        </w:tc>
        <w:tc>
          <w:tcPr>
            <w:tcW w:type="dxa" w:w="1512"/>
          </w:tcPr>
          <w:p>
            <w:r>
              <w:rPr>
                <w:rFonts w:ascii="Times New Roman" w:hAnsi="Times New Roman"/>
                <w:b/>
                <w:sz w:val="20"/>
              </w:rPr>
              <w:t>Objektpflege Stunden</w:t>
            </w:r>
          </w:p>
        </w:tc>
        <w:tc>
          <w:tcPr>
            <w:tcW w:type="dxa" w:w="1512"/>
          </w:tcPr>
          <w:p>
            <w:r>
              <w:rPr>
                <w:rFonts w:ascii="Times New Roman" w:hAnsi="Times New Roman"/>
                <w:b/>
                <w:sz w:val="20"/>
              </w:rPr>
              <w:t>Reparaturen Stunden</w:t>
            </w:r>
          </w:p>
        </w:tc>
        <w:tc>
          <w:tcPr>
            <w:tcW w:type="dxa" w:w="1512"/>
          </w:tcPr>
          <w:p>
            <w:r>
              <w:rPr>
                <w:rFonts w:ascii="Times New Roman" w:hAnsi="Times New Roman"/>
                <w:b/>
                <w:sz w:val="20"/>
              </w:rPr>
              <w:t>Termine Stunden</w:t>
            </w:r>
          </w:p>
        </w:tc>
      </w:tr>
      <w:tr>
        <w:tc>
          <w:tcPr>
            <w:tcW w:type="dxa" w:w="1512"/>
          </w:tcPr>
          <w:p>
            <w:r>
              <w:rPr>
                <w:rFonts w:ascii="Times New Roman" w:hAnsi="Times New Roman"/>
                <w:sz w:val="20"/>
              </w:rPr>
              <w:t>Januar</w:t>
            </w:r>
          </w:p>
        </w:tc>
        <w:tc>
          <w:tcPr>
            <w:tcW w:type="dxa" w:w="1512"/>
          </w:tcPr>
          <w:p>
            <w:r>
              <w:rPr>
                <w:rFonts w:ascii="Times New Roman" w:hAnsi="Times New Roman"/>
                <w:sz w:val="20"/>
              </w:rPr>
              <w:t>8</w:t>
            </w:r>
          </w:p>
        </w:tc>
        <w:tc>
          <w:tcPr>
            <w:tcW w:type="dxa" w:w="1512"/>
          </w:tcPr>
          <w:p>
            <w:r>
              <w:rPr>
                <w:rFonts w:ascii="Times New Roman" w:hAnsi="Times New Roman"/>
                <w:sz w:val="20"/>
              </w:rPr>
              <w:t>5</w:t>
            </w:r>
          </w:p>
        </w:tc>
        <w:tc>
          <w:tcPr>
            <w:tcW w:type="dxa" w:w="1512"/>
          </w:tcPr>
          <w:p>
            <w:r>
              <w:rPr>
                <w:rFonts w:ascii="Times New Roman" w:hAnsi="Times New Roman"/>
                <w:sz w:val="20"/>
              </w:rPr>
              <w:t>3</w:t>
            </w:r>
          </w:p>
        </w:tc>
        <w:tc>
          <w:tcPr>
            <w:tcW w:type="dxa" w:w="1512"/>
          </w:tcPr>
          <w:p>
            <w:r>
              <w:rPr>
                <w:rFonts w:ascii="Times New Roman" w:hAnsi="Times New Roman"/>
                <w:sz w:val="20"/>
              </w:rPr>
              <w:t>1</w:t>
            </w:r>
          </w:p>
        </w:tc>
        <w:tc>
          <w:tcPr>
            <w:tcW w:type="dxa" w:w="1512"/>
          </w:tcPr>
          <w:p>
            <w:r>
              <w:rPr>
                <w:rFonts w:ascii="Times New Roman" w:hAnsi="Times New Roman"/>
                <w:sz w:val="20"/>
              </w:rPr>
              <w:t>1</w:t>
            </w:r>
          </w:p>
        </w:tc>
      </w:tr>
      <w:tr>
        <w:tc>
          <w:tcPr>
            <w:tcW w:type="dxa" w:w="1512"/>
          </w:tcPr>
          <w:p>
            <w:r>
              <w:rPr>
                <w:rFonts w:ascii="Times New Roman" w:hAnsi="Times New Roman"/>
                <w:sz w:val="20"/>
              </w:rPr>
              <w:t>Februar</w:t>
            </w:r>
          </w:p>
        </w:tc>
        <w:tc>
          <w:tcPr>
            <w:tcW w:type="dxa" w:w="1512"/>
          </w:tcPr>
          <w:p>
            <w:r>
              <w:rPr>
                <w:rFonts w:ascii="Times New Roman" w:hAnsi="Times New Roman"/>
                <w:sz w:val="20"/>
              </w:rPr>
              <w:t>8</w:t>
            </w:r>
          </w:p>
        </w:tc>
        <w:tc>
          <w:tcPr>
            <w:tcW w:type="dxa" w:w="1512"/>
          </w:tcPr>
          <w:p>
            <w:r>
              <w:rPr>
                <w:rFonts w:ascii="Times New Roman" w:hAnsi="Times New Roman"/>
                <w:sz w:val="20"/>
              </w:rPr>
              <w:t>4</w:t>
            </w:r>
          </w:p>
        </w:tc>
        <w:tc>
          <w:tcPr>
            <w:tcW w:type="dxa" w:w="1512"/>
          </w:tcPr>
          <w:p>
            <w:r>
              <w:rPr>
                <w:rFonts w:ascii="Times New Roman" w:hAnsi="Times New Roman"/>
                <w:sz w:val="20"/>
              </w:rPr>
              <w:t>3</w:t>
            </w:r>
          </w:p>
        </w:tc>
        <w:tc>
          <w:tcPr>
            <w:tcW w:type="dxa" w:w="1512"/>
          </w:tcPr>
          <w:p>
            <w:r>
              <w:rPr>
                <w:rFonts w:ascii="Times New Roman" w:hAnsi="Times New Roman"/>
                <w:sz w:val="20"/>
              </w:rPr>
              <w:t>2</w:t>
            </w:r>
          </w:p>
        </w:tc>
        <w:tc>
          <w:tcPr>
            <w:tcW w:type="dxa" w:w="1512"/>
          </w:tcPr>
          <w:p>
            <w:r>
              <w:rPr>
                <w:rFonts w:ascii="Times New Roman" w:hAnsi="Times New Roman"/>
                <w:sz w:val="20"/>
              </w:rPr>
              <w:t>1</w:t>
            </w:r>
          </w:p>
        </w:tc>
      </w:tr>
      <w:tr>
        <w:tc>
          <w:tcPr>
            <w:tcW w:type="dxa" w:w="1512"/>
          </w:tcPr>
          <w:p>
            <w:r>
              <w:rPr>
                <w:rFonts w:ascii="Times New Roman" w:hAnsi="Times New Roman"/>
                <w:sz w:val="20"/>
              </w:rPr>
              <w:t>März</w:t>
            </w:r>
          </w:p>
        </w:tc>
        <w:tc>
          <w:tcPr>
            <w:tcW w:type="dxa" w:w="1512"/>
          </w:tcPr>
          <w:p>
            <w:r>
              <w:rPr>
                <w:rFonts w:ascii="Times New Roman" w:hAnsi="Times New Roman"/>
                <w:sz w:val="20"/>
              </w:rPr>
              <w:t>8</w:t>
            </w:r>
          </w:p>
        </w:tc>
        <w:tc>
          <w:tcPr>
            <w:tcW w:type="dxa" w:w="1512"/>
          </w:tcPr>
          <w:p>
            <w:r>
              <w:rPr>
                <w:rFonts w:ascii="Times New Roman" w:hAnsi="Times New Roman"/>
                <w:sz w:val="20"/>
              </w:rPr>
              <w:t>1</w:t>
            </w:r>
          </w:p>
        </w:tc>
        <w:tc>
          <w:tcPr>
            <w:tcW w:type="dxa" w:w="1512"/>
          </w:tcPr>
          <w:p>
            <w:r>
              <w:rPr>
                <w:rFonts w:ascii="Times New Roman" w:hAnsi="Times New Roman"/>
                <w:sz w:val="20"/>
              </w:rPr>
              <w:t>5</w:t>
            </w:r>
          </w:p>
        </w:tc>
        <w:tc>
          <w:tcPr>
            <w:tcW w:type="dxa" w:w="1512"/>
          </w:tcPr>
          <w:p>
            <w:r>
              <w:rPr>
                <w:rFonts w:ascii="Times New Roman" w:hAnsi="Times New Roman"/>
                <w:sz w:val="20"/>
              </w:rPr>
              <w:t>3</w:t>
            </w:r>
          </w:p>
        </w:tc>
        <w:tc>
          <w:tcPr>
            <w:tcW w:type="dxa" w:w="1512"/>
          </w:tcPr>
          <w:p>
            <w:r>
              <w:rPr>
                <w:rFonts w:ascii="Times New Roman" w:hAnsi="Times New Roman"/>
                <w:sz w:val="20"/>
              </w:rPr>
              <w:t>1</w:t>
            </w:r>
          </w:p>
        </w:tc>
      </w:tr>
      <w:tr>
        <w:tc>
          <w:tcPr>
            <w:tcW w:type="dxa" w:w="1512"/>
          </w:tcPr>
          <w:p>
            <w:r>
              <w:rPr>
                <w:rFonts w:ascii="Times New Roman" w:hAnsi="Times New Roman"/>
                <w:sz w:val="20"/>
              </w:rPr>
              <w:t>April</w:t>
            </w:r>
          </w:p>
        </w:tc>
        <w:tc>
          <w:tcPr>
            <w:tcW w:type="dxa" w:w="1512"/>
          </w:tcPr>
          <w:p>
            <w:r>
              <w:rPr>
                <w:rFonts w:ascii="Times New Roman" w:hAnsi="Times New Roman"/>
                <w:sz w:val="20"/>
              </w:rPr>
              <w:t>8</w:t>
            </w:r>
          </w:p>
        </w:tc>
        <w:tc>
          <w:tcPr>
            <w:tcW w:type="dxa" w:w="1512"/>
          </w:tcPr>
          <w:p>
            <w:r>
              <w:rPr>
                <w:rFonts w:ascii="Times New Roman" w:hAnsi="Times New Roman"/>
                <w:sz w:val="20"/>
              </w:rPr>
              <w:t>0</w:t>
            </w:r>
          </w:p>
        </w:tc>
        <w:tc>
          <w:tcPr>
            <w:tcW w:type="dxa" w:w="1512"/>
          </w:tcPr>
          <w:p>
            <w:r>
              <w:rPr>
                <w:rFonts w:ascii="Times New Roman" w:hAnsi="Times New Roman"/>
                <w:sz w:val="20"/>
              </w:rPr>
              <w:t>6</w:t>
            </w:r>
          </w:p>
        </w:tc>
        <w:tc>
          <w:tcPr>
            <w:tcW w:type="dxa" w:w="1512"/>
          </w:tcPr>
          <w:p>
            <w:r>
              <w:rPr>
                <w:rFonts w:ascii="Times New Roman" w:hAnsi="Times New Roman"/>
                <w:sz w:val="20"/>
              </w:rPr>
              <w:t>3</w:t>
            </w:r>
          </w:p>
        </w:tc>
        <w:tc>
          <w:tcPr>
            <w:tcW w:type="dxa" w:w="1512"/>
          </w:tcPr>
          <w:p>
            <w:r>
              <w:rPr>
                <w:rFonts w:ascii="Times New Roman" w:hAnsi="Times New Roman"/>
                <w:sz w:val="20"/>
              </w:rPr>
              <w:t>1</w:t>
            </w:r>
          </w:p>
        </w:tc>
      </w:tr>
      <w:tr>
        <w:tc>
          <w:tcPr>
            <w:tcW w:type="dxa" w:w="1512"/>
          </w:tcPr>
          <w:p>
            <w:r>
              <w:rPr>
                <w:rFonts w:ascii="Times New Roman" w:hAnsi="Times New Roman"/>
                <w:sz w:val="20"/>
              </w:rPr>
              <w:t>Mai</w:t>
            </w:r>
          </w:p>
        </w:tc>
        <w:tc>
          <w:tcPr>
            <w:tcW w:type="dxa" w:w="1512"/>
          </w:tcPr>
          <w:p>
            <w:r>
              <w:rPr>
                <w:rFonts w:ascii="Times New Roman" w:hAnsi="Times New Roman"/>
                <w:sz w:val="20"/>
              </w:rPr>
              <w:t>6</w:t>
            </w:r>
          </w:p>
        </w:tc>
        <w:tc>
          <w:tcPr>
            <w:tcW w:type="dxa" w:w="1512"/>
          </w:tcPr>
          <w:p>
            <w:r>
              <w:rPr>
                <w:rFonts w:ascii="Times New Roman" w:hAnsi="Times New Roman"/>
                <w:sz w:val="20"/>
              </w:rPr>
              <w:t>0</w:t>
            </w:r>
          </w:p>
        </w:tc>
        <w:tc>
          <w:tcPr>
            <w:tcW w:type="dxa" w:w="1512"/>
          </w:tcPr>
          <w:p>
            <w:r>
              <w:rPr>
                <w:rFonts w:ascii="Times New Roman" w:hAnsi="Times New Roman"/>
                <w:sz w:val="20"/>
              </w:rPr>
              <w:t>6</w:t>
            </w:r>
          </w:p>
        </w:tc>
        <w:tc>
          <w:tcPr>
            <w:tcW w:type="dxa" w:w="1512"/>
          </w:tcPr>
          <w:p>
            <w:r>
              <w:rPr>
                <w:rFonts w:ascii="Times New Roman" w:hAnsi="Times New Roman"/>
                <w:sz w:val="20"/>
              </w:rPr>
              <w:t>3</w:t>
            </w:r>
          </w:p>
        </w:tc>
        <w:tc>
          <w:tcPr>
            <w:tcW w:type="dxa" w:w="1512"/>
          </w:tcPr>
          <w:p>
            <w:r>
              <w:rPr>
                <w:rFonts w:ascii="Times New Roman" w:hAnsi="Times New Roman"/>
                <w:sz w:val="20"/>
              </w:rPr>
              <w:t>1</w:t>
            </w:r>
          </w:p>
        </w:tc>
      </w:tr>
      <w:tr>
        <w:tc>
          <w:tcPr>
            <w:tcW w:type="dxa" w:w="1512"/>
          </w:tcPr>
          <w:p>
            <w:r>
              <w:rPr>
                <w:rFonts w:ascii="Times New Roman" w:hAnsi="Times New Roman"/>
                <w:sz w:val="20"/>
              </w:rPr>
              <w:t>Juni</w:t>
            </w:r>
          </w:p>
        </w:tc>
        <w:tc>
          <w:tcPr>
            <w:tcW w:type="dxa" w:w="1512"/>
          </w:tcPr>
          <w:p>
            <w:r>
              <w:rPr>
                <w:rFonts w:ascii="Times New Roman" w:hAnsi="Times New Roman"/>
                <w:sz w:val="20"/>
              </w:rPr>
              <w:t>8</w:t>
            </w:r>
          </w:p>
        </w:tc>
        <w:tc>
          <w:tcPr>
            <w:tcW w:type="dxa" w:w="1512"/>
          </w:tcPr>
          <w:p>
            <w:r>
              <w:rPr>
                <w:rFonts w:ascii="Times New Roman" w:hAnsi="Times New Roman"/>
                <w:sz w:val="20"/>
              </w:rPr>
              <w:t>0</w:t>
            </w:r>
          </w:p>
        </w:tc>
        <w:tc>
          <w:tcPr>
            <w:tcW w:type="dxa" w:w="1512"/>
          </w:tcPr>
          <w:p>
            <w:r>
              <w:rPr>
                <w:rFonts w:ascii="Times New Roman" w:hAnsi="Times New Roman"/>
                <w:sz w:val="20"/>
              </w:rPr>
              <w:t>5</w:t>
            </w:r>
          </w:p>
        </w:tc>
        <w:tc>
          <w:tcPr>
            <w:tcW w:type="dxa" w:w="1512"/>
          </w:tcPr>
          <w:p>
            <w:r>
              <w:rPr>
                <w:rFonts w:ascii="Times New Roman" w:hAnsi="Times New Roman"/>
                <w:sz w:val="20"/>
              </w:rPr>
              <w:t>4</w:t>
            </w:r>
          </w:p>
        </w:tc>
        <w:tc>
          <w:tcPr>
            <w:tcW w:type="dxa" w:w="1512"/>
          </w:tcPr>
          <w:p>
            <w:r>
              <w:rPr>
                <w:rFonts w:ascii="Times New Roman" w:hAnsi="Times New Roman"/>
                <w:sz w:val="20"/>
              </w:rPr>
              <w:t>1</w:t>
            </w:r>
          </w:p>
        </w:tc>
      </w:tr>
      <w:tr>
        <w:tc>
          <w:tcPr>
            <w:tcW w:type="dxa" w:w="1512"/>
          </w:tcPr>
          <w:p>
            <w:r>
              <w:rPr>
                <w:rFonts w:ascii="Times New Roman" w:hAnsi="Times New Roman"/>
                <w:sz w:val="20"/>
              </w:rPr>
              <w:t>Juli</w:t>
            </w:r>
          </w:p>
        </w:tc>
        <w:tc>
          <w:tcPr>
            <w:tcW w:type="dxa" w:w="1512"/>
          </w:tcPr>
          <w:p>
            <w:r>
              <w:rPr>
                <w:rFonts w:ascii="Times New Roman" w:hAnsi="Times New Roman"/>
                <w:sz w:val="20"/>
              </w:rPr>
              <w:t>8</w:t>
            </w:r>
          </w:p>
        </w:tc>
        <w:tc>
          <w:tcPr>
            <w:tcW w:type="dxa" w:w="1512"/>
          </w:tcPr>
          <w:p>
            <w:r>
              <w:rPr>
                <w:rFonts w:ascii="Times New Roman" w:hAnsi="Times New Roman"/>
                <w:sz w:val="20"/>
              </w:rPr>
              <w:t>0</w:t>
            </w:r>
          </w:p>
        </w:tc>
        <w:tc>
          <w:tcPr>
            <w:tcW w:type="dxa" w:w="1512"/>
          </w:tcPr>
          <w:p>
            <w:r>
              <w:rPr>
                <w:rFonts w:ascii="Times New Roman" w:hAnsi="Times New Roman"/>
                <w:sz w:val="20"/>
              </w:rPr>
              <w:t>6</w:t>
            </w:r>
          </w:p>
        </w:tc>
        <w:tc>
          <w:tcPr>
            <w:tcW w:type="dxa" w:w="1512"/>
          </w:tcPr>
          <w:p>
            <w:r>
              <w:rPr>
                <w:rFonts w:ascii="Times New Roman" w:hAnsi="Times New Roman"/>
                <w:sz w:val="20"/>
              </w:rPr>
              <w:t>3</w:t>
            </w:r>
          </w:p>
        </w:tc>
        <w:tc>
          <w:tcPr>
            <w:tcW w:type="dxa" w:w="1512"/>
          </w:tcPr>
          <w:p>
            <w:r>
              <w:rPr>
                <w:rFonts w:ascii="Times New Roman" w:hAnsi="Times New Roman"/>
                <w:sz w:val="20"/>
              </w:rPr>
              <w:t>1</w:t>
            </w:r>
          </w:p>
        </w:tc>
      </w:tr>
      <w:tr>
        <w:tc>
          <w:tcPr>
            <w:tcW w:type="dxa" w:w="1512"/>
          </w:tcPr>
          <w:p>
            <w:r>
              <w:rPr>
                <w:rFonts w:ascii="Times New Roman" w:hAnsi="Times New Roman"/>
                <w:sz w:val="20"/>
              </w:rPr>
              <w:t>August</w:t>
            </w:r>
          </w:p>
        </w:tc>
        <w:tc>
          <w:tcPr>
            <w:tcW w:type="dxa" w:w="1512"/>
          </w:tcPr>
          <w:p>
            <w:r>
              <w:rPr>
                <w:rFonts w:ascii="Times New Roman" w:hAnsi="Times New Roman"/>
                <w:sz w:val="20"/>
              </w:rPr>
              <w:t>8</w:t>
            </w:r>
          </w:p>
        </w:tc>
        <w:tc>
          <w:tcPr>
            <w:tcW w:type="dxa" w:w="1512"/>
          </w:tcPr>
          <w:p>
            <w:r>
              <w:rPr>
                <w:rFonts w:ascii="Times New Roman" w:hAnsi="Times New Roman"/>
                <w:sz w:val="20"/>
              </w:rPr>
              <w:t>0</w:t>
            </w:r>
          </w:p>
        </w:tc>
        <w:tc>
          <w:tcPr>
            <w:tcW w:type="dxa" w:w="1512"/>
          </w:tcPr>
          <w:p>
            <w:r>
              <w:rPr>
                <w:rFonts w:ascii="Times New Roman" w:hAnsi="Times New Roman"/>
                <w:sz w:val="20"/>
              </w:rPr>
              <w:t>6</w:t>
            </w:r>
          </w:p>
        </w:tc>
        <w:tc>
          <w:tcPr>
            <w:tcW w:type="dxa" w:w="1512"/>
          </w:tcPr>
          <w:p>
            <w:r>
              <w:rPr>
                <w:rFonts w:ascii="Times New Roman" w:hAnsi="Times New Roman"/>
                <w:sz w:val="20"/>
              </w:rPr>
              <w:t>3</w:t>
            </w:r>
          </w:p>
        </w:tc>
        <w:tc>
          <w:tcPr>
            <w:tcW w:type="dxa" w:w="1512"/>
          </w:tcPr>
          <w:p>
            <w:r>
              <w:rPr>
                <w:rFonts w:ascii="Times New Roman" w:hAnsi="Times New Roman"/>
                <w:sz w:val="20"/>
              </w:rPr>
              <w:t>1</w:t>
            </w:r>
          </w:p>
        </w:tc>
      </w:tr>
      <w:tr>
        <w:tc>
          <w:tcPr>
            <w:tcW w:type="dxa" w:w="1512"/>
          </w:tcPr>
          <w:p>
            <w:r>
              <w:rPr>
                <w:rFonts w:ascii="Times New Roman" w:hAnsi="Times New Roman"/>
                <w:sz w:val="20"/>
              </w:rPr>
              <w:t>September</w:t>
            </w:r>
          </w:p>
        </w:tc>
        <w:tc>
          <w:tcPr>
            <w:tcW w:type="dxa" w:w="1512"/>
          </w:tcPr>
          <w:p>
            <w:r>
              <w:rPr>
                <w:rFonts w:ascii="Times New Roman" w:hAnsi="Times New Roman"/>
                <w:sz w:val="20"/>
              </w:rPr>
              <w:t>8</w:t>
            </w:r>
          </w:p>
        </w:tc>
        <w:tc>
          <w:tcPr>
            <w:tcW w:type="dxa" w:w="1512"/>
          </w:tcPr>
          <w:p>
            <w:r>
              <w:rPr>
                <w:rFonts w:ascii="Times New Roman" w:hAnsi="Times New Roman"/>
                <w:sz w:val="20"/>
              </w:rPr>
              <w:t>0</w:t>
            </w:r>
          </w:p>
        </w:tc>
        <w:tc>
          <w:tcPr>
            <w:tcW w:type="dxa" w:w="1512"/>
          </w:tcPr>
          <w:p>
            <w:r>
              <w:rPr>
                <w:rFonts w:ascii="Times New Roman" w:hAnsi="Times New Roman"/>
                <w:sz w:val="20"/>
              </w:rPr>
              <w:t>5</w:t>
            </w:r>
          </w:p>
        </w:tc>
        <w:tc>
          <w:tcPr>
            <w:tcW w:type="dxa" w:w="1512"/>
          </w:tcPr>
          <w:p>
            <w:r>
              <w:rPr>
                <w:rFonts w:ascii="Times New Roman" w:hAnsi="Times New Roman"/>
                <w:sz w:val="20"/>
              </w:rPr>
              <w:t>4</w:t>
            </w:r>
          </w:p>
        </w:tc>
        <w:tc>
          <w:tcPr>
            <w:tcW w:type="dxa" w:w="1512"/>
          </w:tcPr>
          <w:p>
            <w:r>
              <w:rPr>
                <w:rFonts w:ascii="Times New Roman" w:hAnsi="Times New Roman"/>
                <w:sz w:val="20"/>
              </w:rPr>
              <w:t>1</w:t>
            </w:r>
          </w:p>
        </w:tc>
      </w:tr>
      <w:tr>
        <w:tc>
          <w:tcPr>
            <w:tcW w:type="dxa" w:w="1512"/>
          </w:tcPr>
          <w:p>
            <w:r>
              <w:rPr>
                <w:rFonts w:ascii="Times New Roman" w:hAnsi="Times New Roman"/>
                <w:sz w:val="20"/>
              </w:rPr>
              <w:t>Oktober</w:t>
            </w:r>
          </w:p>
        </w:tc>
        <w:tc>
          <w:tcPr>
            <w:tcW w:type="dxa" w:w="1512"/>
          </w:tcPr>
          <w:p>
            <w:r>
              <w:rPr>
                <w:rFonts w:ascii="Times New Roman" w:hAnsi="Times New Roman"/>
                <w:sz w:val="20"/>
              </w:rPr>
              <w:t>8</w:t>
            </w:r>
          </w:p>
        </w:tc>
        <w:tc>
          <w:tcPr>
            <w:tcW w:type="dxa" w:w="1512"/>
          </w:tcPr>
          <w:p>
            <w:r>
              <w:rPr>
                <w:rFonts w:ascii="Times New Roman" w:hAnsi="Times New Roman"/>
                <w:sz w:val="20"/>
              </w:rPr>
              <w:t>0</w:t>
            </w:r>
          </w:p>
        </w:tc>
        <w:tc>
          <w:tcPr>
            <w:tcW w:type="dxa" w:w="1512"/>
          </w:tcPr>
          <w:p>
            <w:r>
              <w:rPr>
                <w:rFonts w:ascii="Times New Roman" w:hAnsi="Times New Roman"/>
                <w:sz w:val="20"/>
              </w:rPr>
              <w:t>4</w:t>
            </w:r>
          </w:p>
        </w:tc>
        <w:tc>
          <w:tcPr>
            <w:tcW w:type="dxa" w:w="1512"/>
          </w:tcPr>
          <w:p>
            <w:r>
              <w:rPr>
                <w:rFonts w:ascii="Times New Roman" w:hAnsi="Times New Roman"/>
                <w:sz w:val="20"/>
              </w:rPr>
              <w:t>5</w:t>
            </w:r>
          </w:p>
        </w:tc>
        <w:tc>
          <w:tcPr>
            <w:tcW w:type="dxa" w:w="1512"/>
          </w:tcPr>
          <w:p>
            <w:r>
              <w:rPr>
                <w:rFonts w:ascii="Times New Roman" w:hAnsi="Times New Roman"/>
                <w:sz w:val="20"/>
              </w:rPr>
              <w:t>1</w:t>
            </w:r>
          </w:p>
        </w:tc>
      </w:tr>
      <w:tr>
        <w:tc>
          <w:tcPr>
            <w:tcW w:type="dxa" w:w="1512"/>
          </w:tcPr>
          <w:p>
            <w:r>
              <w:rPr>
                <w:rFonts w:ascii="Times New Roman" w:hAnsi="Times New Roman"/>
                <w:sz w:val="20"/>
              </w:rPr>
              <w:t>November</w:t>
            </w:r>
          </w:p>
        </w:tc>
        <w:tc>
          <w:tcPr>
            <w:tcW w:type="dxa" w:w="1512"/>
          </w:tcPr>
          <w:p>
            <w:r>
              <w:rPr>
                <w:rFonts w:ascii="Times New Roman" w:hAnsi="Times New Roman"/>
                <w:sz w:val="20"/>
              </w:rPr>
              <w:t>8</w:t>
            </w:r>
          </w:p>
        </w:tc>
        <w:tc>
          <w:tcPr>
            <w:tcW w:type="dxa" w:w="1512"/>
          </w:tcPr>
          <w:p>
            <w:r>
              <w:rPr>
                <w:rFonts w:ascii="Times New Roman" w:hAnsi="Times New Roman"/>
                <w:sz w:val="20"/>
              </w:rPr>
              <w:t>2</w:t>
            </w:r>
          </w:p>
        </w:tc>
        <w:tc>
          <w:tcPr>
            <w:tcW w:type="dxa" w:w="1512"/>
          </w:tcPr>
          <w:p>
            <w:r>
              <w:rPr>
                <w:rFonts w:ascii="Times New Roman" w:hAnsi="Times New Roman"/>
                <w:sz w:val="20"/>
              </w:rPr>
              <w:t>5</w:t>
            </w:r>
          </w:p>
        </w:tc>
        <w:tc>
          <w:tcPr>
            <w:tcW w:type="dxa" w:w="1512"/>
          </w:tcPr>
          <w:p>
            <w:r>
              <w:rPr>
                <w:rFonts w:ascii="Times New Roman" w:hAnsi="Times New Roman"/>
                <w:sz w:val="20"/>
              </w:rPr>
              <w:t>2</w:t>
            </w:r>
          </w:p>
        </w:tc>
        <w:tc>
          <w:tcPr>
            <w:tcW w:type="dxa" w:w="1512"/>
          </w:tcPr>
          <w:p>
            <w:r>
              <w:rPr>
                <w:rFonts w:ascii="Times New Roman" w:hAnsi="Times New Roman"/>
                <w:sz w:val="20"/>
              </w:rPr>
              <w:t>1</w:t>
            </w:r>
          </w:p>
        </w:tc>
      </w:tr>
      <w:tr>
        <w:tc>
          <w:tcPr>
            <w:tcW w:type="dxa" w:w="1512"/>
          </w:tcPr>
          <w:p>
            <w:r>
              <w:rPr>
                <w:rFonts w:ascii="Times New Roman" w:hAnsi="Times New Roman"/>
                <w:sz w:val="20"/>
              </w:rPr>
              <w:t>Dezember</w:t>
            </w:r>
          </w:p>
        </w:tc>
        <w:tc>
          <w:tcPr>
            <w:tcW w:type="dxa" w:w="1512"/>
          </w:tcPr>
          <w:p>
            <w:r>
              <w:rPr>
                <w:rFonts w:ascii="Times New Roman" w:hAnsi="Times New Roman"/>
                <w:sz w:val="20"/>
              </w:rPr>
              <w:t>8</w:t>
            </w:r>
          </w:p>
        </w:tc>
        <w:tc>
          <w:tcPr>
            <w:tcW w:type="dxa" w:w="1512"/>
          </w:tcPr>
          <w:p>
            <w:r>
              <w:rPr>
                <w:rFonts w:ascii="Times New Roman" w:hAnsi="Times New Roman"/>
                <w:sz w:val="20"/>
              </w:rPr>
              <w:t>5</w:t>
            </w:r>
          </w:p>
        </w:tc>
        <w:tc>
          <w:tcPr>
            <w:tcW w:type="dxa" w:w="1512"/>
          </w:tcPr>
          <w:p>
            <w:r>
              <w:rPr>
                <w:rFonts w:ascii="Times New Roman" w:hAnsi="Times New Roman"/>
                <w:sz w:val="20"/>
              </w:rPr>
              <w:t>3</w:t>
            </w:r>
          </w:p>
        </w:tc>
        <w:tc>
          <w:tcPr>
            <w:tcW w:type="dxa" w:w="1512"/>
          </w:tcPr>
          <w:p>
            <w:r>
              <w:rPr>
                <w:rFonts w:ascii="Times New Roman" w:hAnsi="Times New Roman"/>
                <w:sz w:val="20"/>
              </w:rPr>
              <w:t>1</w:t>
            </w:r>
          </w:p>
        </w:tc>
        <w:tc>
          <w:tcPr>
            <w:tcW w:type="dxa" w:w="1512"/>
          </w:tcPr>
          <w:p>
            <w:r>
              <w:rPr>
                <w:rFonts w:ascii="Times New Roman" w:hAnsi="Times New Roman"/>
                <w:sz w:val="20"/>
              </w:rPr>
              <w:t>1</w:t>
            </w:r>
          </w:p>
        </w:tc>
      </w:tr>
    </w:tbl>
    <w:p>
      <w:pPr>
        <w:jc w:val="left"/>
      </w:pPr>
      <w:r>
        <w:t>Die laufende Objektpflege umfasst Mülltonnenbereitstellung, Pflege der Zugangsflächen und Sichtkontrollen. Die letzte Spalte betrifft Termine mit der Eigentümerverwaltung, den Abgleich des Schlüsselbestands und die Zuordnung von Zugangsmitteln. Im gesamten Jahr gab es keine von Ringhof begleitete Wohnungsübergabe.</w:t>
      </w:r>
    </w:p>
    <w:p>
      <w:pPr>
        <w:pStyle w:val="Heading2"/>
      </w:pPr>
      <w:r>
        <w:rPr>
          <w:rFonts w:ascii="Times New Roman" w:hAnsi="Times New Roman"/>
        </w:rPr>
        <w:t>3 Einzelne Einsätze und Unterbrechung</w:t>
      </w:r>
    </w:p>
    <w:p>
      <w:pPr>
        <w:jc w:val="left"/>
      </w:pPr>
      <w:r>
        <w:t>Im Januar und Februar wurden die Gehwegflächen kontrolliert, bei Bedarf gestreut und im Anschluss gereinigt. Die kleinen technischen Arbeiten betrafen eine lockere Halterung am Müllplatz und die Befestigung einer Abdeckung im Keller. Im März und April wurden eine klemmende Gartentorpforte nachgestellt und ein beschädigter Türstopper ersetzt. Diese Arbeiten wurden innerhalb des gemischten Hausdienstauftrags ausgeführt.</w:t>
      </w:r>
    </w:p>
    <w:p>
      <w:pPr>
        <w:jc w:val="left"/>
      </w:pPr>
      <w:r>
        <w:t>Die für den 16. Mai vorgesehene Treppenhausreinigung fiel wegen einer kurzfristigen personellen Unterbesetzung aus. Der Ersatztermin am folgenden Montag konnte ebenfalls nicht besetzt werden. Erst am 23. Mai erfolgte die nächste reguläre Reinigung. Zwei Stunden sind deshalb in der Mai-Spalte nicht als ausgeführt enthalten. Die Gutschrift über 95,20 Euro brutto bezieht sich auf diesen Ausfall, nicht auf eine Reparatur und nicht auf eine Zahlung der Mieter.</w:t>
      </w:r>
    </w:p>
    <w:p>
      <w:pPr>
        <w:jc w:val="left"/>
      </w:pPr>
      <w:r>
        <w:t>Im Juni bis September wurden die üblichen Außen- und Tonnenarbeiten erledigt. Zu den Kleinreparaturen gehörten die Befestigung einer losen Sockelleiste, das Nachstellen eines Kellertürbands und der Austausch einer beschädigten Hakenleiste im Gemeinschaftsraum. Die Türschlossreparatur vom Oktober war davon nicht umfasst.</w:t>
      </w:r>
    </w:p>
    <w:p>
      <w:pPr>
        <w:jc w:val="left"/>
      </w:pPr>
      <w:r>
        <w:t>Am 7. Oktober meldete Fabian Öztürk, dass die Zugangstür zum Fahrradraum nicht mehr richtig schließe. Unsere Mitarbeiterin fand eine verzogene Schließblechaufnahme und eine beschädigte Schlossfalle. Der Türbetrieb übernahm die Reparatur. Ringhof räumte den Zugang frei und sicherte ihn bis zum Termin; die Oktoberstunden enthalten nur diese eigenen Tätigkeiten und weitere Kleinreparaturen im Haus.</w:t>
      </w:r>
    </w:p>
    <w:p>
      <w:pPr>
        <w:jc w:val="left"/>
      </w:pPr>
      <w:r>
        <w:t>Am selben Morgen war die Abdeckung am Stromkasten im Kellerflur beschädigt. Ringhof führte keine Arbeiten an spannungsführenden Teilen aus. Der hinzugezogene Elektrobetrieb erneuerte die beschädigten Teile der Abdeckung und deren Befestigung. Die Störung betraf keinen Wallboxanschluss. Nach Abschluss der Türarbeiten wurden die beschädigten Wandflächen im Zugang gestrichen.</w:t>
      </w:r>
    </w:p>
    <w:p>
      <w:pPr>
        <w:jc w:val="left"/>
      </w:pPr>
      <w:r>
        <w:t>Im November und Dezember setzte Ringhof die regelmäßigen Dienste fort. Die Tiefgarage wurde im Rahmen der Zugangskontrollen betreten; eine Ladeinfrastruktur wurde dabei weder montiert noch gewartet. Die nachgewiesenen Winterstunden betreffen die vereinbarten Räum- und Streubereiche, nicht technische Garagenarbeiten.</w:t>
      </w:r>
    </w:p>
    <w:p>
      <w:pPr>
        <w:pStyle w:val="Heading2"/>
      </w:pPr>
      <w:r>
        <w:rPr>
          <w:rFonts w:ascii="Times New Roman" w:hAnsi="Times New Roman"/>
        </w:rPr>
        <w:t>4 Gesonderte Rechnungen</w:t>
      </w:r>
    </w:p>
    <w:p>
      <w:pPr>
        <w:jc w:val="left"/>
      </w:pPr>
      <w:r>
        <w:t>Der Türbetrieb rechnete die Schlossreparatur gesondert mit 892,50 Euro brutto ab. Die Fachrechnung über die Reparatur des Stromkastens beträgt 595,00 Euro brutto. Für die Malerarbeiten liegt eine gesonderte Rechnung über 1.428,00 Euro brutto vor. Diese drei Rechnungen sind keine Unterpositionen der zwölf Ringhof-Monatsrechnungen. Ringhof hat für dieselben Facharbeiten keine zusätzliche eigene Rechnung erstellt.</w:t>
      </w:r>
    </w:p>
    <w:p>
      <w:pPr>
        <w:jc w:val="left"/>
      </w:pPr>
      <w:r>
        <w:t>Die Reinigungsgutschrift über 95,20 Euro wurde nach der Reklamation der Verwaltung ausgestellt. Die ursprüngliche Mairechnung bleibt als Monatsrechnung bestehen; die Gutschrift ist ein eigener Beleg. Unsere Monatsübersicht enthält keine Aussage darüber, auf welchem Buchhaltungskonto Südquadrat die Gutschrift erfasst hat.</w:t>
      </w:r>
    </w:p>
    <w:p>
      <w:pPr>
        <w:jc w:val="left"/>
      </w:pPr>
      <w:r>
        <w:t>Zusammengestellt von Jule Martens, Ringhof Hausdienst GmbH; Namensangabe in der Abschrift</w:t>
      </w:r>
    </w:p>
    <w:p>
      <w:pPr>
        <w:jc w:val="left"/>
      </w:pPr>
      <w:r>
        <w:t>Eingang Südquadrat am 19. Januar 2026, Anne Kroll; Namensangabe in der Abschrift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Ringhof Hausdienst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Ringhof Hausdienst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