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pPr>
      <w:r>
        <w:rPr>
          <w:rFonts w:ascii="Times New Roman" w:hAnsi="Times New Roman"/>
        </w:rPr>
        <w:t>Schadenaufnahme im Keller der Gotenstraße 73</w:t>
      </w:r>
    </w:p>
    <w:p>
      <w:pPr>
        <w:spacing w:after="80"/>
        <w:jc w:val="left"/>
      </w:pPr>
      <w:r>
        <w:t>Südquadrat Wohnen GmbH | Dominicusstraße 28 | 10827 Berlin</w:t>
      </w:r>
    </w:p>
    <w:p>
      <w:pPr>
        <w:spacing w:after="80"/>
        <w:jc w:val="left"/>
      </w:pPr>
      <w:r>
        <w:t>Interne Verwaltung: Anne Kroll | anne.kroll@suedquadrat-wohnen.de</w:t>
      </w:r>
    </w:p>
    <w:p>
      <w:pPr>
        <w:spacing w:after="80"/>
        <w:jc w:val="left"/>
      </w:pPr>
      <w:r>
        <w:t>An Elias Brenner, Geschäftsführung, im Hause</w:t>
      </w:r>
    </w:p>
    <w:p>
      <w:pPr>
        <w:spacing w:after="80"/>
        <w:jc w:val="left"/>
      </w:pPr>
      <w:r>
        <w:t>Berlin, 8. Oktober 2025 | Objekt GO73 | Feststellungen vom 7. Oktober 2025</w:t>
      </w:r>
    </w:p>
    <w:p>
      <w:pPr>
        <w:pStyle w:val="Heading2"/>
        <w:spacing w:before="160"/>
      </w:pPr>
      <w:r>
        <w:rPr>
          <w:rFonts w:ascii="Times New Roman" w:hAnsi="Times New Roman"/>
        </w:rPr>
        <w:t>1 Meldung und Ortstermin</w:t>
      </w:r>
    </w:p>
    <w:p>
      <w:pPr>
        <w:spacing w:after="100" w:line="252" w:lineRule="auto"/>
        <w:jc w:val="left"/>
      </w:pPr>
      <w:r>
        <w:t>Fabian Öztürk aus Wohnung 04 meldete am 7. Oktober morgens eine nicht mehr schließende Zugangstür zum Fahrradraum. Jule Martens von Ringhof Hausdienst besichtigte die Stelle noch am Vormittag. Die Schlossfalle war beschädigt, und die Aufnahme des Schließblechs war sichtbar verzogen. Ein Betätigen des Schlüssels allein stellte die Schließfunktion nicht wieder her.</w:t>
      </w:r>
    </w:p>
    <w:p>
      <w:pPr>
        <w:spacing w:after="100" w:line="252" w:lineRule="auto"/>
        <w:jc w:val="left"/>
      </w:pPr>
      <w:r>
        <w:t>Die Beschädigung betrifft die Gemeinschaftstür im Keller. An der Wohnungstür der Öztürks wurde kein Schaden gemeldet. Die straßenseitige Eingangstür ließ sich beim Ortstermin öffnen und schließen. Frau Martens räumte den Bereich vor der Kellertür frei und entfernte lose Teile, damit der Zugang vorläufig passierbar blieb. Eine vollständige Reparatur durch den Hausdienst fand nicht statt.</w:t>
      </w:r>
    </w:p>
    <w:p>
      <w:pPr>
        <w:pStyle w:val="Heading2"/>
        <w:spacing w:before="160"/>
      </w:pPr>
      <w:r>
        <w:rPr>
          <w:rFonts w:ascii="Times New Roman" w:hAnsi="Times New Roman"/>
        </w:rPr>
        <w:t>2 Stromkasten und Sicherung</w:t>
      </w:r>
    </w:p>
    <w:p>
      <w:pPr>
        <w:spacing w:after="100" w:line="252" w:lineRule="auto"/>
        <w:jc w:val="left"/>
      </w:pPr>
      <w:r>
        <w:t>Am Stromkasten im Kellerflur war zugleich die äußere Abdeckung beschädigt. Die Verwaltung zog einen Elektrofachbetrieb hinzu. Der Hausdienst hat den Kasten nicht geöffnet und keine Arbeiten an elektrischen Leitungen ausgeführt. Die betreffende Stelle liegt außerhalb der separat vermieteten Stellplatzflächen.</w:t>
      </w:r>
    </w:p>
    <w:p>
      <w:pPr>
        <w:spacing w:after="100" w:line="252" w:lineRule="auto"/>
        <w:jc w:val="left"/>
      </w:pPr>
      <w:r>
        <w:t>Es gab vor Ort keine neu installierte Wallboxleitung. Das bei der Geschäftsführung liegende Angebot zur Ladeinfrastruktur war weiterhin nicht beauftragt. Die Beschädigung des vorhandenen Stromkastens wurde deshalb mit dem konkreten Einbauort aufgenommen und nicht als Störung einer Ladeanlage bezeichnet.</w:t>
      </w:r>
    </w:p>
    <w:p>
      <w:pPr>
        <w:pStyle w:val="Heading2"/>
        <w:spacing w:before="160"/>
      </w:pPr>
      <w:r>
        <w:rPr>
          <w:rFonts w:ascii="Times New Roman" w:hAnsi="Times New Roman"/>
        </w:rPr>
        <w:t>3 Angaben der Bewohner</w:t>
      </w:r>
    </w:p>
    <w:p>
      <w:pPr>
        <w:spacing w:after="100" w:line="252" w:lineRule="auto"/>
        <w:jc w:val="left"/>
      </w:pPr>
      <w:r>
        <w:t>Herr Öztürk erklärte, die Tür am Vorabend noch benutzt zu haben. Einen Täter oder einen Unfall habe er nicht gesehen. Eine andere Bewohnerin habe lediglich bemerkt, dass die Tür am Morgen offen stand; ihr Name wurde beim telefonischen Erstkontakt nicht notiert. Der genaue Hergang lässt sich aus diesen Angaben nicht feststellen.</w:t>
      </w:r>
    </w:p>
    <w:p>
      <w:pPr>
        <w:spacing w:after="100" w:line="252" w:lineRule="auto"/>
        <w:jc w:val="left"/>
      </w:pPr>
      <w:r>
        <w:t>Die Öztürks haben keinen Tiefgaragenstellplatz und besitzen keinen Garagenhandsender. Sie erreichen den Fahrradraum über den gemeinschaftlichen Kellerzugang. Im Jahr 2025 gab es bis zu diesem Termin keinen Mieterwechsel im Haus. Dem Hausdienst war keine Schlüsselübergabe in zeitlichem Zusammenhang mit dem Vorfall bekannt.</w:t>
      </w:r>
    </w:p>
    <w:p>
      <w:pPr>
        <w:pStyle w:val="Heading2"/>
        <w:spacing w:before="160"/>
      </w:pPr>
      <w:r>
        <w:rPr>
          <w:rFonts w:ascii="Times New Roman" w:hAnsi="Times New Roman"/>
        </w:rPr>
        <w:t>4 Anschlussarbeiten</w:t>
      </w:r>
    </w:p>
    <w:p>
      <w:pPr>
        <w:spacing w:after="100" w:line="252" w:lineRule="auto"/>
        <w:jc w:val="left"/>
      </w:pPr>
      <w:r>
        <w:t>An der Wand um die Schließblechaufnahme befinden sich frische Abplatzungen. Im anschließenden Kellerflur sind daneben ältere Streifspuren vorhanden. Die Wandflächen sollen nach Abschluss der Türarbeiten durch einen Malerbetrieb bearbeitet werden. Beim Ortstermin war noch keine neue Beschichtung aufgebracht.</w:t>
      </w:r>
    </w:p>
    <w:p>
      <w:pPr>
        <w:keepNext/>
        <w:spacing w:after="100" w:line="252" w:lineRule="auto"/>
        <w:jc w:val="left"/>
      </w:pPr>
      <w:r>
        <w:t>Türreparatur, Elektroarbeiten und Malerarbeiten werden jeweils mit dem ausführenden Fachbetrieb dokumentiert. Die vorbereitenden Tätigkeiten von Ringhof bleiben im Hausdienstnachweis erfasst. Dieser Vermerk bestätigt die beobachteten Zustände und die bis zum 8. Oktober bekannten Angaben; eine Entscheidung über einen Versicherungsfall liegt ihm nicht zugrunde.</w:t>
      </w:r>
    </w:p>
    <w:p>
      <w:pPr>
        <w:keepLines/>
        <w:spacing w:after="100" w:line="252" w:lineRule="auto"/>
        <w:jc w:val="left"/>
      </w:pPr>
      <w:r>
        <w:t>Aufgenommen von Anne Kroll nach Rückmeldung von Jule Martens und Fabian Öztürk; Namensangabe in der Abschrift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Südquadrat Wohnen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Südquadrat Wohnen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