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Hausdienstnachweis Ebersstraße 84 für 2025</w:t>
      </w:r>
    </w:p>
    <w:p>
      <w:pPr>
        <w:spacing w:after="80" w:line="264" w:lineRule="auto"/>
        <w:jc w:val="left"/>
      </w:pPr>
      <w:r>
        <w:t>Kiezwerk Hausservice GmbH | Feurigstraße 18 | 10827 Berlin</w:t>
      </w:r>
    </w:p>
    <w:p>
      <w:pPr>
        <w:spacing w:after="80" w:line="264" w:lineRule="auto"/>
        <w:jc w:val="left"/>
      </w:pPr>
      <w:r>
        <w:t>Objektleitung: Tom Albrecht | tom.albrecht@kiezwerk-hausservice.de</w:t>
      </w:r>
    </w:p>
    <w:p>
      <w:pPr>
        <w:spacing w:after="80" w:line="264" w:lineRule="auto"/>
        <w:jc w:val="left"/>
      </w:pPr>
      <w:r>
        <w:t>An Hofbogen Immobilienverwaltung GmbH, Lea Wendt, Hauptstraße 118, 10827 Berlin</w:t>
      </w:r>
    </w:p>
    <w:p>
      <w:pPr>
        <w:spacing w:after="80" w:line="264" w:lineRule="auto"/>
        <w:jc w:val="left"/>
      </w:pPr>
      <w:r>
        <w:t>Berlin, 14. Januar 2026 | Objekt EB84 | Auswertung der ausgeführten Monatsleistungen</w:t>
      </w:r>
    </w:p>
    <w:p>
      <w:pPr>
        <w:pStyle w:val="Heading2"/>
      </w:pPr>
      <w:r>
        <w:rPr>
          <w:rFonts w:ascii="Times New Roman" w:hAnsi="Times New Roman"/>
        </w:rPr>
        <w:t>1 Vertragsumfang und Erfassung</w:t>
      </w:r>
    </w:p>
    <w:p>
      <w:pPr>
        <w:spacing w:after="120" w:line="264" w:lineRule="auto"/>
        <w:jc w:val="left"/>
      </w:pPr>
      <w:r>
        <w:t>Der Hausdienst wurde von Januar bis Dezember 2025 durchgehend mit einer monatlichen Bruttopauschale von 900,00 Euro geführt. Die zwölf Monatsrechnungen ergeben vor der gesonderten Gutschrift 10.800,00 Euro brutto. Der Auftrag enthält Treppenhausreinigung, Winterdienst, die laufenden Kontroll- und Bereitstellungsarbeiten sowie kleinere technische Tätigkeiten und Abstimmungen im Objekt. Die nachstehende Übersicht gibt die tatsächlich erfassten Stunden wieder; sie ist keine weitere Rechnung.</w:t>
      </w:r>
    </w:p>
    <w:p>
      <w:pPr>
        <w:spacing w:after="120" w:line="264" w:lineRule="auto"/>
        <w:jc w:val="left"/>
      </w:pPr>
      <w:r>
        <w:t>Die Spalte Reinigung enthält die regelmäßigen Arbeiten an Treppenläufen, Podesten und Eingangsflächen. Winterdienst bezeichnet die protokollierten Kontroll-, Streu- und Räumgänge. Laufender Hausdienst umfasst Mülltonnenbereitstellung, Sichtkontrollen an Zugängen und die Pflege der Außenflächen. Die Spalte Kleinreparaturen enthält tatsächlich ausgeführte handwerkliche Arbeiten. Die letzte Spalte betrifft die Teilnahme an Eigentümerbegehungen, Bestandsabgleiche der Schlüssel und Besprechungen mit der Verwaltung.</w:t>
      </w:r>
    </w:p>
    <w:p>
      <w:pPr>
        <w:pStyle w:val="Heading2"/>
      </w:pPr>
      <w:r>
        <w:rPr>
          <w:rFonts w:ascii="Times New Roman" w:hAnsi="Times New Roman"/>
        </w:rPr>
        <w:t>2 Monatsübersicht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Monat 2025</w:t>
            </w:r>
          </w:p>
        </w:tc>
        <w:tc>
          <w:tcPr>
            <w:tcW w:type="dxa" w:w="1512"/>
          </w:tcPr>
          <w:p>
            <w:r>
              <w:rPr>
                <w:rFonts w:ascii="Times New Roman" w:hAnsi="Times New Roman"/>
                <w:b/>
                <w:sz w:val="20"/>
              </w:rPr>
              <w:t>Reinigung Stunden</w:t>
            </w:r>
          </w:p>
        </w:tc>
        <w:tc>
          <w:tcPr>
            <w:tcW w:type="dxa" w:w="1512"/>
          </w:tcPr>
          <w:p>
            <w:r>
              <w:rPr>
                <w:rFonts w:ascii="Times New Roman" w:hAnsi="Times New Roman"/>
                <w:b/>
                <w:sz w:val="20"/>
              </w:rPr>
              <w:t>Winterdienst Stunden</w:t>
            </w:r>
          </w:p>
        </w:tc>
        <w:tc>
          <w:tcPr>
            <w:tcW w:type="dxa" w:w="1512"/>
          </w:tcPr>
          <w:p>
            <w:r>
              <w:rPr>
                <w:rFonts w:ascii="Times New Roman" w:hAnsi="Times New Roman"/>
                <w:b/>
                <w:sz w:val="20"/>
              </w:rPr>
              <w:t>Hausdienst Stunden</w:t>
            </w:r>
          </w:p>
        </w:tc>
        <w:tc>
          <w:tcPr>
            <w:tcW w:type="dxa" w:w="1512"/>
          </w:tcPr>
          <w:p>
            <w:r>
              <w:rPr>
                <w:rFonts w:ascii="Times New Roman" w:hAnsi="Times New Roman"/>
                <w:b/>
                <w:sz w:val="20"/>
              </w:rPr>
              <w:t>Reparaturen Stunden</w:t>
            </w:r>
          </w:p>
        </w:tc>
        <w:tc>
          <w:tcPr>
            <w:tcW w:type="dxa" w:w="1512"/>
          </w:tcPr>
          <w:p>
            <w:r>
              <w:rPr>
                <w:rFonts w:ascii="Times New Roman" w:hAnsi="Times New Roman"/>
                <w:b/>
                <w:sz w:val="20"/>
              </w:rPr>
              <w:t>Termine Stunden</w:t>
            </w:r>
          </w:p>
        </w:tc>
      </w:tr>
      <w:tr>
        <w:tc>
          <w:tcPr>
            <w:tcW w:type="dxa" w:w="1512"/>
          </w:tcPr>
          <w:p>
            <w:r>
              <w:rPr>
                <w:rFonts w:ascii="Times New Roman" w:hAnsi="Times New Roman"/>
                <w:sz w:val="20"/>
              </w:rPr>
              <w:t>Januar</w:t>
            </w:r>
          </w:p>
        </w:tc>
        <w:tc>
          <w:tcPr>
            <w:tcW w:type="dxa" w:w="1512"/>
          </w:tcPr>
          <w:p>
            <w:r>
              <w:rPr>
                <w:rFonts w:ascii="Times New Roman" w:hAnsi="Times New Roman"/>
                <w:sz w:val="20"/>
              </w:rPr>
              <w:t>8</w:t>
            </w:r>
          </w:p>
        </w:tc>
        <w:tc>
          <w:tcPr>
            <w:tcW w:type="dxa" w:w="1512"/>
          </w:tcPr>
          <w:p>
            <w:r>
              <w:rPr>
                <w:rFonts w:ascii="Times New Roman" w:hAnsi="Times New Roman"/>
                <w:sz w:val="20"/>
              </w:rPr>
              <w:t>6</w:t>
            </w:r>
          </w:p>
        </w:tc>
        <w:tc>
          <w:tcPr>
            <w:tcW w:type="dxa" w:w="1512"/>
          </w:tcPr>
          <w:p>
            <w:r>
              <w:rPr>
                <w:rFonts w:ascii="Times New Roman" w:hAnsi="Times New Roman"/>
                <w:sz w:val="20"/>
              </w:rPr>
              <w:t>3</w:t>
            </w:r>
          </w:p>
        </w:tc>
        <w:tc>
          <w:tcPr>
            <w:tcW w:type="dxa" w:w="1512"/>
          </w:tcPr>
          <w:p>
            <w:r>
              <w:rPr>
                <w:rFonts w:ascii="Times New Roman" w:hAnsi="Times New Roman"/>
                <w:sz w:val="20"/>
              </w:rPr>
              <w:t>2</w:t>
            </w:r>
          </w:p>
        </w:tc>
        <w:tc>
          <w:tcPr>
            <w:tcW w:type="dxa" w:w="1512"/>
          </w:tcPr>
          <w:p>
            <w:r>
              <w:rPr>
                <w:rFonts w:ascii="Times New Roman" w:hAnsi="Times New Roman"/>
                <w:sz w:val="20"/>
              </w:rPr>
              <w:t>1</w:t>
            </w:r>
          </w:p>
        </w:tc>
      </w:tr>
      <w:tr>
        <w:tc>
          <w:tcPr>
            <w:tcW w:type="dxa" w:w="1512"/>
          </w:tcPr>
          <w:p>
            <w:r>
              <w:rPr>
                <w:rFonts w:ascii="Times New Roman" w:hAnsi="Times New Roman"/>
                <w:sz w:val="20"/>
              </w:rPr>
              <w:t>Februar</w:t>
            </w:r>
          </w:p>
        </w:tc>
        <w:tc>
          <w:tcPr>
            <w:tcW w:type="dxa" w:w="1512"/>
          </w:tcPr>
          <w:p>
            <w:r>
              <w:rPr>
                <w:rFonts w:ascii="Times New Roman" w:hAnsi="Times New Roman"/>
                <w:sz w:val="20"/>
              </w:rPr>
              <w:t>8</w:t>
            </w:r>
          </w:p>
        </w:tc>
        <w:tc>
          <w:tcPr>
            <w:tcW w:type="dxa" w:w="1512"/>
          </w:tcPr>
          <w:p>
            <w:r>
              <w:rPr>
                <w:rFonts w:ascii="Times New Roman" w:hAnsi="Times New Roman"/>
                <w:sz w:val="20"/>
              </w:rPr>
              <w:t>5</w:t>
            </w:r>
          </w:p>
        </w:tc>
        <w:tc>
          <w:tcPr>
            <w:tcW w:type="dxa" w:w="1512"/>
          </w:tcPr>
          <w:p>
            <w:r>
              <w:rPr>
                <w:rFonts w:ascii="Times New Roman" w:hAnsi="Times New Roman"/>
                <w:sz w:val="20"/>
              </w:rPr>
              <w:t>4</w:t>
            </w:r>
          </w:p>
        </w:tc>
        <w:tc>
          <w:tcPr>
            <w:tcW w:type="dxa" w:w="1512"/>
          </w:tcPr>
          <w:p>
            <w:r>
              <w:rPr>
                <w:rFonts w:ascii="Times New Roman" w:hAnsi="Times New Roman"/>
                <w:sz w:val="20"/>
              </w:rPr>
              <w:t>2</w:t>
            </w:r>
          </w:p>
        </w:tc>
        <w:tc>
          <w:tcPr>
            <w:tcW w:type="dxa" w:w="1512"/>
          </w:tcPr>
          <w:p>
            <w:r>
              <w:rPr>
                <w:rFonts w:ascii="Times New Roman" w:hAnsi="Times New Roman"/>
                <w:sz w:val="20"/>
              </w:rPr>
              <w:t>1</w:t>
            </w:r>
          </w:p>
        </w:tc>
      </w:tr>
      <w:tr>
        <w:tc>
          <w:tcPr>
            <w:tcW w:type="dxa" w:w="1512"/>
          </w:tcPr>
          <w:p>
            <w:r>
              <w:rPr>
                <w:rFonts w:ascii="Times New Roman" w:hAnsi="Times New Roman"/>
                <w:sz w:val="20"/>
              </w:rPr>
              <w:t>März</w:t>
            </w:r>
          </w:p>
        </w:tc>
        <w:tc>
          <w:tcPr>
            <w:tcW w:type="dxa" w:w="1512"/>
          </w:tcPr>
          <w:p>
            <w:r>
              <w:rPr>
                <w:rFonts w:ascii="Times New Roman" w:hAnsi="Times New Roman"/>
                <w:sz w:val="20"/>
              </w:rPr>
              <w:t>8</w:t>
            </w:r>
          </w:p>
        </w:tc>
        <w:tc>
          <w:tcPr>
            <w:tcW w:type="dxa" w:w="1512"/>
          </w:tcPr>
          <w:p>
            <w:r>
              <w:rPr>
                <w:rFonts w:ascii="Times New Roman" w:hAnsi="Times New Roman"/>
                <w:sz w:val="20"/>
              </w:rPr>
              <w:t>1</w:t>
            </w:r>
          </w:p>
        </w:tc>
        <w:tc>
          <w:tcPr>
            <w:tcW w:type="dxa" w:w="1512"/>
          </w:tcPr>
          <w:p>
            <w:r>
              <w:rPr>
                <w:rFonts w:ascii="Times New Roman" w:hAnsi="Times New Roman"/>
                <w:sz w:val="20"/>
              </w:rPr>
              <w:t>7</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April</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8</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Mai</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8</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Juni</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7</w:t>
            </w:r>
          </w:p>
        </w:tc>
        <w:tc>
          <w:tcPr>
            <w:tcW w:type="dxa" w:w="1512"/>
          </w:tcPr>
          <w:p>
            <w:r>
              <w:rPr>
                <w:rFonts w:ascii="Times New Roman" w:hAnsi="Times New Roman"/>
                <w:sz w:val="20"/>
              </w:rPr>
              <w:t>4</w:t>
            </w:r>
          </w:p>
        </w:tc>
        <w:tc>
          <w:tcPr>
            <w:tcW w:type="dxa" w:w="1512"/>
          </w:tcPr>
          <w:p>
            <w:r>
              <w:rPr>
                <w:rFonts w:ascii="Times New Roman" w:hAnsi="Times New Roman"/>
                <w:sz w:val="20"/>
              </w:rPr>
              <w:t>1</w:t>
            </w:r>
          </w:p>
        </w:tc>
      </w:tr>
      <w:tr>
        <w:tc>
          <w:tcPr>
            <w:tcW w:type="dxa" w:w="1512"/>
          </w:tcPr>
          <w:p>
            <w:r>
              <w:rPr>
                <w:rFonts w:ascii="Times New Roman" w:hAnsi="Times New Roman"/>
                <w:sz w:val="20"/>
              </w:rPr>
              <w:t>Juli</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6</w:t>
            </w:r>
          </w:p>
        </w:tc>
        <w:tc>
          <w:tcPr>
            <w:tcW w:type="dxa" w:w="1512"/>
          </w:tcPr>
          <w:p>
            <w:r>
              <w:rPr>
                <w:rFonts w:ascii="Times New Roman" w:hAnsi="Times New Roman"/>
                <w:sz w:val="20"/>
              </w:rPr>
              <w:t>5</w:t>
            </w:r>
          </w:p>
        </w:tc>
        <w:tc>
          <w:tcPr>
            <w:tcW w:type="dxa" w:w="1512"/>
          </w:tcPr>
          <w:p>
            <w:r>
              <w:rPr>
                <w:rFonts w:ascii="Times New Roman" w:hAnsi="Times New Roman"/>
                <w:sz w:val="20"/>
              </w:rPr>
              <w:t>1</w:t>
            </w:r>
          </w:p>
        </w:tc>
      </w:tr>
      <w:tr>
        <w:tc>
          <w:tcPr>
            <w:tcW w:type="dxa" w:w="1512"/>
          </w:tcPr>
          <w:p>
            <w:r>
              <w:rPr>
                <w:rFonts w:ascii="Times New Roman" w:hAnsi="Times New Roman"/>
                <w:sz w:val="20"/>
              </w:rPr>
              <w:t>August</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7</w:t>
            </w:r>
          </w:p>
        </w:tc>
        <w:tc>
          <w:tcPr>
            <w:tcW w:type="dxa" w:w="1512"/>
          </w:tcPr>
          <w:p>
            <w:r>
              <w:rPr>
                <w:rFonts w:ascii="Times New Roman" w:hAnsi="Times New Roman"/>
                <w:sz w:val="20"/>
              </w:rPr>
              <w:t>4</w:t>
            </w:r>
          </w:p>
        </w:tc>
        <w:tc>
          <w:tcPr>
            <w:tcW w:type="dxa" w:w="1512"/>
          </w:tcPr>
          <w:p>
            <w:r>
              <w:rPr>
                <w:rFonts w:ascii="Times New Roman" w:hAnsi="Times New Roman"/>
                <w:sz w:val="20"/>
              </w:rPr>
              <w:t>1</w:t>
            </w:r>
          </w:p>
        </w:tc>
      </w:tr>
      <w:tr>
        <w:tc>
          <w:tcPr>
            <w:tcW w:type="dxa" w:w="1512"/>
          </w:tcPr>
          <w:p>
            <w:r>
              <w:rPr>
                <w:rFonts w:ascii="Times New Roman" w:hAnsi="Times New Roman"/>
                <w:sz w:val="20"/>
              </w:rPr>
              <w:t>September</w:t>
            </w:r>
          </w:p>
        </w:tc>
        <w:tc>
          <w:tcPr>
            <w:tcW w:type="dxa" w:w="1512"/>
          </w:tcPr>
          <w:p>
            <w:r>
              <w:rPr>
                <w:rFonts w:ascii="Times New Roman" w:hAnsi="Times New Roman"/>
                <w:sz w:val="20"/>
              </w:rPr>
              <w:t>6</w:t>
            </w:r>
          </w:p>
        </w:tc>
        <w:tc>
          <w:tcPr>
            <w:tcW w:type="dxa" w:w="1512"/>
          </w:tcPr>
          <w:p>
            <w:r>
              <w:rPr>
                <w:rFonts w:ascii="Times New Roman" w:hAnsi="Times New Roman"/>
                <w:sz w:val="20"/>
              </w:rPr>
              <w:t>0</w:t>
            </w:r>
          </w:p>
        </w:tc>
        <w:tc>
          <w:tcPr>
            <w:tcW w:type="dxa" w:w="1512"/>
          </w:tcPr>
          <w:p>
            <w:r>
              <w:rPr>
                <w:rFonts w:ascii="Times New Roman" w:hAnsi="Times New Roman"/>
                <w:sz w:val="20"/>
              </w:rPr>
              <w:t>8</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Oktober</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6</w:t>
            </w:r>
          </w:p>
        </w:tc>
        <w:tc>
          <w:tcPr>
            <w:tcW w:type="dxa" w:w="1512"/>
          </w:tcPr>
          <w:p>
            <w:r>
              <w:rPr>
                <w:rFonts w:ascii="Times New Roman" w:hAnsi="Times New Roman"/>
                <w:sz w:val="20"/>
              </w:rPr>
              <w:t>5</w:t>
            </w:r>
          </w:p>
        </w:tc>
        <w:tc>
          <w:tcPr>
            <w:tcW w:type="dxa" w:w="1512"/>
          </w:tcPr>
          <w:p>
            <w:r>
              <w:rPr>
                <w:rFonts w:ascii="Times New Roman" w:hAnsi="Times New Roman"/>
                <w:sz w:val="20"/>
              </w:rPr>
              <w:t>1</w:t>
            </w:r>
          </w:p>
        </w:tc>
      </w:tr>
      <w:tr>
        <w:tc>
          <w:tcPr>
            <w:tcW w:type="dxa" w:w="1512"/>
          </w:tcPr>
          <w:p>
            <w:r>
              <w:rPr>
                <w:rFonts w:ascii="Times New Roman" w:hAnsi="Times New Roman"/>
                <w:sz w:val="20"/>
              </w:rPr>
              <w:t>November</w:t>
            </w:r>
          </w:p>
        </w:tc>
        <w:tc>
          <w:tcPr>
            <w:tcW w:type="dxa" w:w="1512"/>
          </w:tcPr>
          <w:p>
            <w:r>
              <w:rPr>
                <w:rFonts w:ascii="Times New Roman" w:hAnsi="Times New Roman"/>
                <w:sz w:val="20"/>
              </w:rPr>
              <w:t>8</w:t>
            </w:r>
          </w:p>
        </w:tc>
        <w:tc>
          <w:tcPr>
            <w:tcW w:type="dxa" w:w="1512"/>
          </w:tcPr>
          <w:p>
            <w:r>
              <w:rPr>
                <w:rFonts w:ascii="Times New Roman" w:hAnsi="Times New Roman"/>
                <w:sz w:val="20"/>
              </w:rPr>
              <w:t>2</w:t>
            </w:r>
          </w:p>
        </w:tc>
        <w:tc>
          <w:tcPr>
            <w:tcW w:type="dxa" w:w="1512"/>
          </w:tcPr>
          <w:p>
            <w:r>
              <w:rPr>
                <w:rFonts w:ascii="Times New Roman" w:hAnsi="Times New Roman"/>
                <w:sz w:val="20"/>
              </w:rPr>
              <w:t>6</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Dezember</w:t>
            </w:r>
          </w:p>
        </w:tc>
        <w:tc>
          <w:tcPr>
            <w:tcW w:type="dxa" w:w="1512"/>
          </w:tcPr>
          <w:p>
            <w:r>
              <w:rPr>
                <w:rFonts w:ascii="Times New Roman" w:hAnsi="Times New Roman"/>
                <w:sz w:val="20"/>
              </w:rPr>
              <w:t>8</w:t>
            </w:r>
          </w:p>
        </w:tc>
        <w:tc>
          <w:tcPr>
            <w:tcW w:type="dxa" w:w="1512"/>
          </w:tcPr>
          <w:p>
            <w:r>
              <w:rPr>
                <w:rFonts w:ascii="Times New Roman" w:hAnsi="Times New Roman"/>
                <w:sz w:val="20"/>
              </w:rPr>
              <w:t>6</w:t>
            </w:r>
          </w:p>
        </w:tc>
        <w:tc>
          <w:tcPr>
            <w:tcW w:type="dxa" w:w="1512"/>
          </w:tcPr>
          <w:p>
            <w:r>
              <w:rPr>
                <w:rFonts w:ascii="Times New Roman" w:hAnsi="Times New Roman"/>
                <w:sz w:val="20"/>
              </w:rPr>
              <w:t>3</w:t>
            </w:r>
          </w:p>
        </w:tc>
        <w:tc>
          <w:tcPr>
            <w:tcW w:type="dxa" w:w="1512"/>
          </w:tcPr>
          <w:p>
            <w:r>
              <w:rPr>
                <w:rFonts w:ascii="Times New Roman" w:hAnsi="Times New Roman"/>
                <w:sz w:val="20"/>
              </w:rPr>
              <w:t>2</w:t>
            </w:r>
          </w:p>
        </w:tc>
        <w:tc>
          <w:tcPr>
            <w:tcW w:type="dxa" w:w="1512"/>
          </w:tcPr>
          <w:p>
            <w:r>
              <w:rPr>
                <w:rFonts w:ascii="Times New Roman" w:hAnsi="Times New Roman"/>
                <w:sz w:val="20"/>
              </w:rPr>
              <w:t>1</w:t>
            </w:r>
          </w:p>
        </w:tc>
      </w:tr>
    </w:tbl>
    <w:p>
      <w:pPr>
        <w:spacing w:after="120" w:line="264" w:lineRule="auto"/>
        <w:jc w:val="left"/>
      </w:pPr>
      <w:r>
        <w:t>Die Pauschale wurde wegen der unterschiedlichen saisonalen Verteilung nicht monatlich nach Stunden neu festgesetzt. Eine anteilige Preisvereinbarung je Tätigkeit enthält die Stundenübersicht nicht. Die Stunden der beauftragten Fachfirmen für Tür, Beleuchtung, Malerarbeiten und Fallrohr sind hier nicht enthalten.</w:t>
      </w:r>
    </w:p>
    <w:p>
      <w:pPr>
        <w:pStyle w:val="Heading2"/>
      </w:pPr>
      <w:r>
        <w:rPr>
          <w:rFonts w:ascii="Times New Roman" w:hAnsi="Times New Roman"/>
        </w:rPr>
        <w:t>3 Ergänzungen aus den Einsatzbüchern</w:t>
      </w:r>
    </w:p>
    <w:p>
      <w:pPr>
        <w:spacing w:after="120" w:line="264" w:lineRule="auto"/>
        <w:jc w:val="left"/>
      </w:pPr>
      <w:r>
        <w:t>Im Januar und Februar wurden nach den winterlichen Kontrollen die Streugutreste auf den Zugängen aufgenommen. Die technischen Einsätze betrafen das Nachstellen des Haustürschließers und eine lose Befestigung am Müllplatz. Im März und April wurden zwei defekte Halterungen im Gemeinschaftskeller ersetzt und eine klemmende Abdeckung wieder befestigt. Die betreffende Haustür ließ sich danach schließen; ein neues Haustürschloss wurde durch Kiezwerk nicht geliefert.</w:t>
      </w:r>
    </w:p>
    <w:p>
      <w:pPr>
        <w:spacing w:after="120" w:line="264" w:lineRule="auto"/>
        <w:jc w:val="left"/>
      </w:pPr>
      <w:r>
        <w:t>Im Mai und Juni wurden die Außenflächen gepflegt und die Mülltonnen wie vereinbart bereitgestellt. Bei den technischen Stunden handelt es sich unter anderem um die Befestigung eines gelösten Handlaufhalters und das Ausrichten einer Kellerabtrennung. Die jeweiligen Materialien waren Kleinmaterial aus dem Hausdienstbestand. Es gab keinen Mieterwechsel und keine Wohnungsübergabe durch unseren Dienst.</w:t>
      </w:r>
    </w:p>
    <w:p>
      <w:pPr>
        <w:spacing w:after="120" w:line="264" w:lineRule="auto"/>
        <w:jc w:val="left"/>
      </w:pPr>
      <w:r>
        <w:t>Am 18. Juli wurde morgens eine beschädigte Tür zum gemeinschaftlichen Fahrradkeller vorgefunden. Kiezwerk entfernte lose Splitter, sicherte die Öffnung provisorisch und wartete den Zugang für den beauftragten Türbetrieb ab. Das sind Teile der erfassten Juli-Stunden. Die anschließende Instandsetzung mit Erneuerung von Zylinder und Schließblech wurde von einem anderen Unternehmen ausgeführt und von diesem gesondert berechnet. Der Begriff „Haustür“ in einer telefonischen Erstmeldung bezeichnete nicht den tatsächlich betroffenen Einbauort.</w:t>
      </w:r>
    </w:p>
    <w:p>
      <w:pPr>
        <w:spacing w:after="120" w:line="264" w:lineRule="auto"/>
        <w:jc w:val="left"/>
      </w:pPr>
      <w:r>
        <w:t>Im August wurden bei der technischen Runde beschädigte Sockelleisten im Kellerzugang befestigt. Die Malerarbeiten am Wandfeld neben der Fahrradkellertür und im angrenzenden Flur wurden durch einen Malerbetrieb ausgeführt. Unsere August-Stunden enthalten nur das Freiräumen und die eigenen Kleinreparaturen, keine Malerstunden.</w:t>
      </w:r>
    </w:p>
    <w:p>
      <w:pPr>
        <w:spacing w:after="120" w:line="264" w:lineRule="auto"/>
        <w:jc w:val="left"/>
      </w:pPr>
      <w:r>
        <w:t>Die Reinigung am 5. September entfiel, weil die vorgesehene Mitarbeiterin ausfiel und keine Vertretung erschien. Der Termin wurde nicht nachgeholt. Die nächste reguläre Reinigung fand am 12. September statt. Für den ausgefallenen Termin wurden zwei Stunden nicht als erbracht erfasst; die gesonderte Gutschrift beträgt 119,00 Euro brutto. Die September-Pauschalrechnung wurde zum Monatsende ausgestellt; die am 12. September angekündigte Gutschrift folgte am 2. Oktober als eigener Beleg.</w:t>
      </w:r>
    </w:p>
    <w:p>
      <w:pPr>
        <w:spacing w:after="120" w:line="264" w:lineRule="auto"/>
        <w:jc w:val="left"/>
      </w:pPr>
      <w:r>
        <w:t>Im Oktober wurde erneut der Haustürschließer eingestellt. Am 13. Oktober meldeten wir eine Störung der Treppenhausbeleuchtung. Die Elektroreparatur wurde am 14. Oktober durch den Fachbetrieb ausgeführt. Unsere Arbeiten an einem losen Schalterrahmen waren davon getrennt. Im November wurden die laufenden Dienste und kleinere Befestigungsarbeiten ausgeführt. Im Dezember erfolgten Winterkontrollen und die gewöhnlichen Reinigungs- und Bereitstellungsarbeiten. Zusätzliche Sonderreinigungskosten wurden durch uns für das Jahr nicht berechnet.</w:t>
      </w:r>
    </w:p>
    <w:p>
      <w:pPr>
        <w:pStyle w:val="Heading2"/>
      </w:pPr>
      <w:r>
        <w:rPr>
          <w:rFonts w:ascii="Times New Roman" w:hAnsi="Times New Roman"/>
        </w:rPr>
        <w:t>4 Fachfirmen und Gutschrift</w:t>
      </w:r>
    </w:p>
    <w:p>
      <w:pPr>
        <w:spacing w:after="120" w:line="264" w:lineRule="auto"/>
        <w:jc w:val="left"/>
      </w:pPr>
      <w:r>
        <w:t>Die Unterlagen der Verwaltung weisen für die Fahrradkellertür 1.249,50 Euro brutto, für die Reparatur der Treppenhausbeleuchtung 416,50 Euro brutto und für Malerarbeiten 1.785,00 Euro brutto aus. Diese Beträge sind nicht Bestandteil der zwölf Kiezwerk-Monatsrechnungen. Wir bestätigen lediglich die vor Ort beobachteten Tätigkeiten, nicht die Kalkulation der jeweiligen Fachfirma.</w:t>
      </w:r>
    </w:p>
    <w:p>
      <w:pPr>
        <w:spacing w:after="120" w:line="264" w:lineRule="auto"/>
        <w:jc w:val="left"/>
      </w:pPr>
      <w:r>
        <w:t>Am Morgen des 18. Juli wurde außerdem ein fehlender Kupferabschnitt am hofseitigen Fallrohr festgestellt. Kiezwerk hat den fehlenden Abschnitt nicht selbst ersetzt. Die Fachrechnung hierfür beträgt 2.165,80 Euro brutto. Die bei der Verwaltung dokumentierte Versicherungserstattung von 940,00 Euro betrifft ausschließlich die Fahrradkellertür. Für das Fallrohr ist die Versicherungsfrage noch ungeklärt. Der Schaden am Fallrohr und der Schaden an der Fahrradkellertür wurden am selben Morgen bemerkt; einen Täter haben unsere Beschäftigten nicht gesehen.</w:t>
      </w:r>
    </w:p>
    <w:p>
      <w:pPr>
        <w:spacing w:after="120" w:line="264" w:lineRule="auto"/>
        <w:jc w:val="left"/>
      </w:pPr>
      <w:r>
        <w:t>Die Gutschrift über 119,00 Euro bezieht sich ausschließlich auf den Reinigungsausfall im September. Sie ist weder eine Versicherungszahlung noch ein Preisnachlass auf die Türreparatur. In den vorstehenden Monatsrechnungsbeträgen ist sie noch nicht saldiert.</w:t>
      </w:r>
    </w:p>
    <w:p>
      <w:pPr>
        <w:keepNext/>
        <w:spacing w:after="80" w:line="264" w:lineRule="auto"/>
        <w:jc w:val="left"/>
      </w:pPr>
      <w:r>
        <w:t>Erstellt von Tom Albrecht für Kiezwerk Hausservice GmbH; Namensangabe in der Abschrift</w:t>
      </w:r>
    </w:p>
    <w:p>
      <w:pPr>
        <w:keepLines/>
        <w:spacing w:after="120" w:line="264" w:lineRule="auto"/>
        <w:jc w:val="left"/>
      </w:pPr>
      <w:r>
        <w:t>Eingang bei Hofbogen: 15. Januar 2026, Lea Wendt;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Kiezwerk Hausservice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Kiezwerk Hausservice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