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P003</w:t>
        <w:br/>
        <w:t>Vertragspartner: Ben Wagner</w:t>
        <w:br/>
        <w:t>Vertragsstand: 20.12.2023</w:t>
      </w:r>
    </w:p>
    <w:p>
      <w:pPr>
        <w:widowControl/>
      </w:pPr>
      <w:r>
        <w:t>Zwischen der Innovation Systems GmbH, Schlossallee 1, 10115 Berlin – nachfolgend Arbeitgeber genannt – und Herr Ben Wagner, Badstraße 1, 10115 Berlin – nachfolgend Arbeitnehmer genannt – wird folgender Arbeitsvertrag vereinbart:</w:t>
      </w:r>
    </w:p>
    <w:p>
      <w:pPr>
        <w:widowControl/>
      </w:pPr>
      <w:r>
        <w:t>Die Parteien fassen das bereits bestehende Arbeitsverhältnis mit Wirkung ab dem 01.01.2024 neu. Der unten genannte Eintrittstag bleibt für die Beschäftigungsdauer maßgeblich. Die bei Eintritt vereinbarte Probezeit beginnt durch diese Neufassung nicht erneut.</w:t>
      </w:r>
    </w:p>
    <w:p>
      <w:pPr>
        <w:pStyle w:val="Heading1"/>
      </w:pPr>
      <w:r>
        <w:t>1 Beginn des Arbeitsverhältnisses und Probezeit</w:t>
      </w:r>
    </w:p>
    <w:p>
      <w:pPr>
        <w:widowControl/>
      </w:pPr>
      <w:r>
        <w:t>1.1 Das Arbeitsverhältnis beginnt am 01.08.2019</w:t>
      </w:r>
    </w:p>
    <w:p>
      <w:pPr>
        <w:widowControl/>
      </w:pPr>
      <w:r>
        <w:t>1.2 Die ersten sechs Monate des Arbeitsverhältnisses gelten als Probezeit.</w:t>
      </w:r>
    </w:p>
    <w:p>
      <w:pPr>
        <w:pStyle w:val="Heading1"/>
      </w:pPr>
      <w:r>
        <w:t>2 Tätigkeit und Arbeitsort</w:t>
      </w:r>
    </w:p>
    <w:p>
      <w:pPr>
        <w:widowControl/>
      </w:pPr>
      <w:r>
        <w:t>2.1 Der Arbeitnehmer wird eingestellt als Assistent der Geschäftsführung.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3.500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Textform gegenüber der anderen Vertragspartei geltend gemacht werden, ansonsten verfallen sie. Die Nichteinhaltung dieser Ausschlussfrist führt zum Verlust des Anspruchs.</w:t>
      </w:r>
    </w:p>
    <w:p>
      <w:pPr>
        <w:widowControl/>
      </w:pPr>
      <w:r>
        <w:t>15.2 Lehnt die jeweils andere Vertragspartei den Anspruch in Textform ab oder erklärt sie sich nicht innerhalb von zwei Wochen nach der Geltendmachung des Anspruches in Textform,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führen die Besprechungsunterlagen der Geschäftsführung, organisieren Gesellschaftertermine und halten die unterschriebenen Beschlüsse getrennt von den Entwürfen vor. Zahlungsvorschläge dürfen Sie vorbereiten, nicht freigeben. Personalgespräche werden nur auf Einladung der Geschäftsführung protokolliert.</w:t>
      </w:r>
    </w:p>
    <w:p>
      <w:pPr>
        <w:widowControl/>
      </w:pPr>
      <w:r>
        <w:t>Sie verwalten den zentralen Posteingang einschließlich der Zugangsnachweise und geben fristgebundene Schreiben noch am Eingangstag weiter. Für Abwesenheitszeiten stimmen Sie die Vertretung mit dem Personalbereich ab. Eine allgemeine Empfangsvollmacht für Kündigungen der Arbeitnehmer wird Ihnen nicht erteilt.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Ben Wagner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