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Innovation Systems GmbH</w:t>
      </w:r>
    </w:p>
    <w:p>
      <w:r>
        <w:t>Schlossallee 1, 10115 Berlin</w:t>
      </w:r>
    </w:p>
    <w:p>
      <w:pPr>
        <w:pStyle w:val="Title"/>
      </w:pPr>
      <w:r>
        <w:t>Arbeitsvertrag</w:t>
      </w:r>
    </w:p>
    <w:p>
      <w:pPr>
        <w:widowControl/>
      </w:pPr>
      <w:r>
        <w:t>Personalnummer P007</w:t>
        <w:br/>
        <w:t>Vertragspartner: Maximilian Fischer</w:t>
        <w:br/>
        <w:t>Vertragsstand: 20.12.2023</w:t>
      </w:r>
    </w:p>
    <w:p>
      <w:pPr>
        <w:widowControl/>
      </w:pPr>
      <w:r>
        <w:t>Zwischen der Innovation Systems GmbH, Schlossallee 1, 10115 Berlin – nachfolgend Arbeitgeber genannt – und Herr Maximilian Fischer, Badstraße 4, 10115 Berlin – nachfolgend Arbeitnehmer genannt – wird folgender Arbeitsvertrag vereinbart:</w:t>
      </w:r>
    </w:p>
    <w:p>
      <w:pPr>
        <w:pStyle w:val="Heading1"/>
      </w:pPr>
      <w:r>
        <w:t>1 Beginn des Arbeitsverhältnisses und Probezeit</w:t>
      </w:r>
    </w:p>
    <w:p>
      <w:pPr>
        <w:widowControl/>
      </w:pPr>
      <w:r>
        <w:t>1.1 Das Arbeitsverhältnis beginnt am 01.01.2024</w:t>
      </w:r>
    </w:p>
    <w:p>
      <w:pPr>
        <w:widowControl/>
      </w:pPr>
      <w:r>
        <w:t>1.2 Die ersten sechs Monate des Arbeitsverhältnisses gelten als Probezeit.</w:t>
      </w:r>
    </w:p>
    <w:p>
      <w:pPr>
        <w:pStyle w:val="Heading1"/>
      </w:pPr>
      <w:r>
        <w:t>2 Tätigkeit und Arbeitsort</w:t>
      </w:r>
    </w:p>
    <w:p>
      <w:pPr>
        <w:widowControl/>
      </w:pPr>
      <w:r>
        <w:t>2.1 Der Arbeitnehmer wird eingestellt als Innovation Manager. Sein Aufgabengebiet umfasst folgende Tätigkeiten: - Identifikation von Innovationspotenzialen - Entwicklung von Innovationsstrategien - Projektmanagement - Marktforschung - Ideenmanagement - Netzwerkaufbau - Fördermittelakquise - Change Management - Schulung und Weiterbildung Erfolgskontrolle</w:t>
      </w:r>
    </w:p>
    <w:p>
      <w:pPr>
        <w:widowControl/>
      </w:pPr>
      <w:r>
        <w:t>2.3 Der Arbeitgeber behält sich im Rahmen des Direktionsrechts gem. Paragraf  106 GewO vor, den Arbeitnehmer entsprechend seinen Leistungen und Fähigkeiten 2.8.1 mit einer anderen im Interesse des Arbeitgebers liegenden zumutbaren sowie gleichwertigen Tätigkeit zu betrauen und/oder 2.8.2 an einen anderen Arbeitsort und/oder 2.8.3 vorübergehend auch an auswärtigen Arbeitsplätzen des Arbeitgebers einzusetzen. Hierbei werden die persönlichen Belange des Arbeitnehmers angemessen berücksichtigt.</w:t>
      </w:r>
    </w:p>
    <w:p>
      <w:pPr>
        <w:pStyle w:val="Heading1"/>
      </w:pPr>
      <w:r>
        <w:t>3 Arbeitszeit</w:t>
      </w:r>
    </w:p>
    <w:p>
      <w:pPr>
        <w:widowControl/>
      </w:pPr>
      <w:r>
        <w:t>3.1 Die regelmäßige Arbeitszeit beträgt 40 Stunden pro Woche. Die tägliche Arbeitszeit (Beginn und Ende der Arbeitszeit mit Pausen) und ihre Lage richten sich nach den betrieblichen Erfordernissen und der betrieblichen Einteilung.</w:t>
      </w:r>
    </w:p>
    <w:p>
      <w:pPr>
        <w:widowControl/>
      </w:pPr>
      <w:r>
        <w:t>3.2 Der Arbeitnehmer wird seine ganze Arbeitskraft im Interesse des Arbeitgebers einsetzen. Er ist verpflichtet, auf Anordnung des Arbeitgebers betriebsnotwendige Mehrarbeits- und Überstunden im gesetzlich zulässigen Umfang zu leisten. Gleiches gilt für Nacht-, Schicht-, Samstags-, Sonntags- und Feiertagsarbeit sowie Arbeitsbereitschaft und Bereitschaftsdienst.</w:t>
      </w:r>
    </w:p>
    <w:p>
      <w:pPr>
        <w:pStyle w:val="Heading1"/>
      </w:pPr>
      <w:r>
        <w:t>4 Vergütung</w:t>
      </w:r>
    </w:p>
    <w:p>
      <w:pPr>
        <w:widowControl/>
      </w:pPr>
      <w:r>
        <w:t>4.1 Der Arbeitgeber verpflichtet sich, an den Arbeitnehmer eine monatliche Bruttovergütung in Höhe von 2200 EUR zu zahlen. Die Auszahlung der monatlichen Bruttovergütung erfolgt bargeldlos jeweils zum Monatsletzten auf ein dem Arbeitgeber vom Arbeitnehmer anzugebendes inländisches Bankkonto.</w:t>
      </w:r>
    </w:p>
    <w:p>
      <w:pPr>
        <w:widowControl/>
      </w:pPr>
      <w:r>
        <w:t>4.2 Eine Gewährung sonstiger Leistungen (zum Beispiel Weihnachts- und Urlaubsgeld etc.) durch den Arbeitgeber erfolgt freiwillig und mit der Maßgabe, dass auch mit einer wiederholten Zahlung kein Rechtsanspruch für die Zukunft entsteht bzw. begründet wird.</w:t>
      </w:r>
    </w:p>
    <w:p>
      <w:pPr>
        <w:pStyle w:val="Heading1"/>
      </w:pPr>
      <w:r>
        <w:t>5 Über- und Mehrarbeit</w:t>
      </w:r>
    </w:p>
    <w:p>
      <w:pPr>
        <w:widowControl/>
      </w:pPr>
      <w:r>
        <w:t>5.1 Der Arbeitnehmer verpflichtet sich, im Rahmen des gesetzlich Zulässigen Überstunden und Mehrarbeit zu leisten.</w:t>
      </w:r>
    </w:p>
    <w:p>
      <w:pPr>
        <w:widowControl/>
      </w:pPr>
      <w:r>
        <w:t>5.2 Ein Anspruch auf Über- oder Mehrarbeitsstundenabgeltung besteht nur, wenn die Über- oder Mehrarbeit arbeitgeberseits angeordnet oder vereinbart worden ist oder wenn sie aus dringenden betrieblichen Interessen erforderlich war und der Arbeitnehmer Beginn und Ende der Über-/Mehrarbeit spätestens am folgenden Tag dem Arbeitgeber gegenüber in Textform anzeigt.</w:t>
      </w:r>
    </w:p>
    <w:p>
      <w:pPr>
        <w:pStyle w:val="Heading1"/>
      </w:pPr>
      <w:r>
        <w:t>6 Gehaltsverpfändung und -abtretung</w:t>
      </w:r>
    </w:p>
    <w:p>
      <w:pPr>
        <w:widowControl/>
      </w:pPr>
      <w:r>
        <w:t>Die Abtretung oder Verpfändung von Lohn- und sonstigen Vergütungsansprüchen ist ausgeschlossen, es sei denn, es liegt die vorherige schriftliche Zustimmung des Arbeitgebers vor.</w:t>
      </w:r>
    </w:p>
    <w:p>
      <w:pPr>
        <w:pStyle w:val="Heading1"/>
      </w:pPr>
      <w:r>
        <w:t>7 Arbeitsverhinderung</w:t>
      </w:r>
    </w:p>
    <w:p>
      <w:pPr>
        <w:widowControl/>
      </w:pPr>
      <w:r>
        <w:t>Der Arbeitnehmer ist verpflichtet, dem Arbeitgeber jede Arbeitsverhinderung und ihre voraussichtliche Dauer unverzüglich anzuzeigen. Auf Verlangen sind die Gründe der Arbeitsverhinderung anzugeben. Bei anstehenden Terminsachen hat der Arbeitnehmer den Arbeitgeber auf vordringlich zu erledigende Arbeiten hinzuweisen.</w:t>
      </w:r>
    </w:p>
    <w:p>
      <w:pPr>
        <w:pStyle w:val="Heading1"/>
      </w:pPr>
      <w:r>
        <w:t>8 Entgeltfortzahlung im Krankheitsfall</w:t>
      </w:r>
    </w:p>
    <w:p>
      <w:pPr>
        <w:widowControl/>
      </w:pPr>
      <w:r>
        <w:t>8.1 Der Arbeitnehmer ist verpflichtet, dem Arbeitgeber jede Arbeitsunfähigkeit und deren voraussichtliche Dauer unverzüglich mitzuteilen. Dauert die Arbeitsunfähigkeit länger als drei Kalendertage, hat der Arbeitnehmer eine ärztliche Bescheinigung über das Bestehen der Arbeitsunfähigkeit sowie deren voraussichtliche Dauer spätestens am darauffolgenden Arbeitstag vorzulegen. Der Arbeitgeber ist berechtigt, die Vorlage der ärztlichen Bescheinigung früher zu verlangen. Dauert die Arbeitsunfähigkeit länger als in der Bescheinigung angegeben, ist der Arbeitnehmer verpflichtet, eine neue ärztliche Bescheinigung vorzulegen.</w:t>
      </w:r>
    </w:p>
    <w:p>
      <w:pPr>
        <w:widowControl/>
      </w:pPr>
      <w:r>
        <w:t>8.2 Abs.</w:t>
      </w:r>
    </w:p>
    <w:p>
      <w:pPr>
        <w:widowControl/>
      </w:pPr>
      <w:r>
        <w:t>8.1 S. 2 bis 4 gilt nicht für einen Arbeitnehmer, der Versicherter einer gesetzlichen Krankenkasse ist. Dieser ist verpflichtet, zu den in Abs.</w:t>
      </w:r>
    </w:p>
    <w:p>
      <w:pPr>
        <w:widowControl/>
      </w:pPr>
      <w:r>
        <w:t>8.1 S. 2 bis 4 genannten Zeitpunkten das Bestehen einer Arbeitsunfähigkeit sowie deren voraussichtliche Dauer feststellen und sich eine ärztliche Bescheinigung nach Abs.</w:t>
      </w:r>
    </w:p>
    <w:p>
      <w:pPr>
        <w:widowControl/>
      </w:pPr>
      <w:r>
        <w:t>8.1 S. 2 oder 4 aushändigen zu lassen. Die S. 1 und 2 gelten nicht 8.8.1 für einen Arbeitnehmer, der kein Mitglied einer gesetzlichen Krankenkasse ist (hier gilt Abs.</w:t>
      </w:r>
    </w:p>
    <w:p>
      <w:pPr>
        <w:widowControl/>
      </w:pPr>
      <w:r>
        <w:t>8.1 ), 8.8.2 für einen Arbeitnehmer, der sich im Ausland aufhält (hier gilt derzeit Paragraf  5 Abs. 2 EFZG), 8.8.3 in Fällen der Feststellung der Arbeitsunfähigkeit durch einen Arzt, der nicht an der vertragsärztlichen Versorgung teilnimmt (hier gilt Abs.</w:t>
      </w:r>
    </w:p>
    <w:p>
      <w:pPr>
        <w:widowControl/>
      </w:pPr>
      <w:r>
        <w:t>8.1 ).</w:t>
      </w:r>
    </w:p>
    <w:p>
      <w:pPr>
        <w:widowControl/>
      </w:pPr>
      <w:r>
        <w:t>8.3 Die in Abs.</w:t>
      </w:r>
    </w:p>
    <w:p>
      <w:pPr>
        <w:widowControl/>
      </w:pPr>
      <w:r>
        <w:t>8.1 und Abs.</w:t>
      </w:r>
    </w:p>
    <w:p>
      <w:pPr>
        <w:widowControl/>
      </w:pPr>
      <w:r>
        <w:t>8.2 geregelten Mitteilungs-, Nachweis- und Feststellungspflichten bestehen auch im Anschluss an die Beendigung einer etwaigen Entgeltfortzahlung.</w:t>
      </w:r>
    </w:p>
    <w:p>
      <w:pPr>
        <w:widowControl/>
      </w:pPr>
      <w:r>
        <w:t>8.4 Der Arbeitnehmer ist bereit und damit verpflichtet, die Art und Ursache der Erkrankung, soweit bekannt, unverzüglich anzugeben, wenn diese Schutzmaßnahmen des Arbeitgebers für andere Arbeitnehmer aufgrund einer Ansteckungs- und Infektionsgefahr erfordert.</w:t>
      </w:r>
    </w:p>
    <w:p>
      <w:pPr>
        <w:widowControl/>
      </w:pPr>
      <w:r>
        <w:t>8.5 Bei Arbeitsunfähigkeit in Folge Krankheit erhält der Arbeitnehmer Entgeltfortzahlung nach den gesetzlichen Vorschriften.</w:t>
      </w:r>
    </w:p>
    <w:p>
      <w:pPr>
        <w:widowControl/>
      </w:pPr>
      <w:r>
        <w:t>8.6 Bei Arbeitsunfähigkeit in Folge Drittverursachung hat der Arbeitnehmer dem Arbeitgeber unverzüglich die zur Geltendmachung des Schadensersatzanspruchs gegenüber Dritten erforderlichen Angaben zu machen.</w:t>
      </w:r>
    </w:p>
    <w:p>
      <w:pPr>
        <w:pStyle w:val="Heading1"/>
      </w:pPr>
      <w:r>
        <w:t>9 Urlaub</w:t>
      </w:r>
    </w:p>
    <w:p>
      <w:pPr>
        <w:widowControl/>
      </w:pPr>
      <w:r>
        <w:t>9.1 Der Arbeitnehmer erhält bei einer 6-Tage-Woche kalenderjährlich einen Urlaub von 24 Arbeitstagen als gesetzlichen Mindesturlaub. Schwerbehinderte Menschen haben Anspruch auf einen zusätzlichen gesetzlichen Mindesturlaub von sechs Arbeitstagen im Urlaubsjahr. Der gesetzliche Mindesturlaub muss im laufenden Kalenderjahr gewährt und genommen werden, ansonsten verfällt er. Eine Übertragung des gesetzlichen Mindesturlaubs auf das nächste Kalenderjahr ist nur statthaft, wenn dringende betriebliche oder in der Person des Arbeitnehmers liegende Gründe dies rechtfertigen. Im Falle der Übertragung muss der gesetzliche Mindesturlaub in den ersten drei Monaten des folgenden Kalenderjahres gewährt und genommen werden, ansonsten verfällt er. Konnte der gesetzliche Mindesturlaub wegen Arbeitsunfähigkeit des Arbeitnehmers nicht genommen werden, geht der gesetzliche Mindesturlaubsanspruch 15 Kalendermonate nach dem Ende des Urlaubsjahres, mithin am 31.3. des 2. Folgejahres unter.</w:t>
      </w:r>
    </w:p>
    <w:p>
      <w:pPr>
        <w:widowControl/>
      </w:pPr>
      <w:r>
        <w:t>9.2 Der Arbeitnehmer erhält darüber hinaus kalenderjährlich einen übergesetzlichen Zusatzur-laub von weiteren sechs Arbeitstagen. Der übergesetzliche Zusatzurlaub ist innerhalb des Kalenderjahres zu nehmen, ansonsten verfällt er, unabhängig von einer bestehenden Arbeitsunfähigkeit oder Mitwirkungsobliegenheiten des Arbeitgebers. Eine Übertragung des übergesetzlichen Zusatzurlaubes auf das nächste Jahr ist nur statthaft, wenn dringende betriebliche oder in der Person des Arbeitnehmers liegende Gründe eine Übertragung erforderlich machen. Im Falle der Übertragung muss der Zusatzurlaub in den ersten drei Monaten des nachfolgenden Kalenderjahres gewährt und genommen werden. Ansonsten verfällt der Zusatzurlaub mit Ablauf des 31.3. des nachfolgenden Kalenderjahres auch dann, wenn er wegen Arbeitsunfähigkeit des Arbeitnehmers nicht genommen werden konnte oder der Arbeitgeber Mitwirkungsobliegenheiten nicht entsprochen hat. Eine Abgeltung des übergesetzlichen Urlaubsanspruches ist ausgeschlossen.</w:t>
      </w:r>
    </w:p>
    <w:p>
      <w:pPr>
        <w:widowControl/>
      </w:pPr>
      <w:r>
        <w:t>9.3 Die Festlegung des Urlaubs erfolgt durch den Arbeitgeber auf Antrag und unter Berücksichtigung der Wünsche des Arbeitnehmers. Dringende betriebliche Gründe haben Vorrang. Ein Urlaubsantrag gilt mit schriftlicher Bestätigung durch den Arbeitgeber als bewilligt. Als bewilligt gilt zunächst der gesetzliche Mindesturlaub gem. Abs.</w:t>
      </w:r>
    </w:p>
    <w:p>
      <w:pPr>
        <w:widowControl/>
      </w:pPr>
      <w:r>
        <w:t>9.1 bis zu dessen vollständiger Erfüllung – anschließend bei schwerbehinderten Menschen deren zusätzlicher gesetzlicher Mindesturlaub –, erst danach der übergesetzliche Zusatzurlaub gem. Abs.</w:t>
      </w:r>
    </w:p>
    <w:p>
      <w:pPr>
        <w:widowControl/>
      </w:pPr>
      <w:r>
        <w:t>9.2 . Während des Übertragungszeitraumes (1.1. bis 31.3. des nachfolgenden Kalenderjahres) gilt zunächst der übertragene gesetzliche Mindesturlaub – sodann bei schwerbehinderten Menschen deren gesetzlicher Mindesturlaub –, danach der übertragene übergesetzliche Zusatzurlaub sowie erst danach der in dem betreffenden Kalenderjahr entstehende bzw. entstandene gesetzliche Mindesturlaub – bei schwerbehinderten Menschen deren zusätzlicher gesetzlicher Mindesturlaub – und übergesetzliche Zusatzurlaub als bewilligt.</w:t>
      </w:r>
    </w:p>
    <w:p>
      <w:pPr>
        <w:pStyle w:val="Heading1"/>
      </w:pPr>
      <w:r>
        <w:t>10 Verschwiegenheitspflicht</w:t>
      </w:r>
    </w:p>
    <w:p>
      <w:pPr>
        <w:widowControl/>
      </w:pPr>
      <w:r>
        <w:t>10.1 Der Arbeitnehmer hat über ihn bekannt gewordene Betriebs- und Geschäftsgeheimnisse sowohl während der Dauer des Arbeitsverhältnisses als auch nach dessen Beendigung dritten Personen gegenüber als auch gegenüber anderen Arbeitnehmern, die mit dem betreffenden Arbeitsgebiet nicht unmittelbar befasst sind, Verschwiegenheit zu wahren. Insbesondere verpflichtet er sich, Dritten gegenüber keine Informationen weiterzugeben, die als vertraulich klassifiziert sind (zum Beispiel Kostenaufstellungen, Angebote etc.). Der Arbeitnehmer verpflichtet sich ferner, Anweisungen des Arbeitgebers zur Geheimhaltung zu erfüllen und im Zweifelsfall eine Weisung des Arbeitgebers zur Vertraulichkeit bestimmter Tatsachen einzuholen.Als Geschäftsgeheimnisse geheim zu halten sind insbesondere: - Produktionsverfahren - Rezepturen und Formeln - Technische Zeichnungen und Pläne - Kundendaten - Lieferantendaten - Marketingstrategien - Geschäftszahlen und Finanzdaten - Forschungs- und Entwicklungsergebnisse - Patentanmeldungen - Software- und Quellcodes</w:t>
      </w:r>
    </w:p>
    <w:p>
      <w:pPr>
        <w:widowControl/>
      </w:pPr>
      <w:r>
        <w:t>10.2 Nach Beendigung des Arbeitsverhältnisses besteht die Verpflichtung zur Verschwiegenheit hinsichtlich nachfolgender Geschäftsgeheimnisse fort: - Produktionsverfahren - Rezepturen und Formeln - Technische Zeichnungen und Pläne - Kundendaten - Lieferantendaten</w:t>
      </w:r>
    </w:p>
    <w:p>
      <w:pPr>
        <w:widowControl/>
      </w:pPr>
      <w:r>
        <w:t>10.3 Sollte die nachvertragliche Verschwiegenheitspflicht den Arbeitnehmer in seinem beruflichen Fortkommen unangemessen behindern, hat er gegen den Arbeitgeber einen Anspruch auf Freistellung von dieser Pflicht.</w:t>
      </w:r>
    </w:p>
    <w:p>
      <w:pPr>
        <w:widowControl/>
      </w:pPr>
      <w:r>
        <w:t>10.4 Es wird ausdrücklich darauf hingewiesen, dass der Arbeitnehmer insbesondere gem. Paragraf  10 GeschGehG zum Ersatz des Schadens, der dem Arbeitgeber aufgrund einer (Geheimnis-)Rechtsverletzung entsteht, oder gem. Paragraf  11 GeschGehG zur Abfindung des Arbeitgebers in Geld verpflichtet ist. Ein Zuwiderhandeln gegen die Abs.</w:t>
      </w:r>
    </w:p>
    <w:p>
      <w:pPr>
        <w:widowControl/>
      </w:pPr>
      <w:r>
        <w:t>10.1 und</w:t>
      </w:r>
    </w:p>
    <w:p>
      <w:pPr>
        <w:widowControl/>
      </w:pPr>
      <w:r>
        <w:t>10.2 wertet der Arbeitgeber als Rechtsverletzung iSd Paragraf  4 GeschGehG und behält sich vor, sämtliche ihm zustehenden Schadensersatzansprüche gegenüber dem Arbeitnehmer geltend zu machen.</w:t>
      </w:r>
    </w:p>
    <w:p>
      <w:pPr>
        <w:pStyle w:val="Heading1"/>
      </w:pPr>
      <w:r>
        <w:t>11 Ehrenamt</w:t>
      </w:r>
    </w:p>
    <w:p>
      <w:pPr>
        <w:widowControl/>
      </w:pPr>
      <w:r>
        <w:t>11.1 Der Arbeitnehmer verpflichtet sich, dem Arbeitgeber unverzüglich mitzuteilen, falls er ein Ehrenamt übernommen hat. Ferner hat er dem Arbeitgeber die Dauer mitzuteilen und ob die ehrenamtliche Tätigkeit in die Arbeitszeit fällt.</w:t>
      </w:r>
    </w:p>
    <w:p>
      <w:pPr>
        <w:widowControl/>
      </w:pPr>
      <w:r>
        <w:t>11.2 Der Arbeitnehmer darf privaten Ehrenämtern während der Arbeitszeit nicht nachgehen. Übernimmt der Arbeitnehmer öffentliche Ehrenämter, verpflichtet er sich, seine Arbeitszeit nicht stärker, als zu der ordnungsgemäßen Erfüllung des öffentlichen Ehrenamtes erforderlich, in Anspruch zu nehmen.</w:t>
      </w:r>
    </w:p>
    <w:p>
      <w:pPr>
        <w:widowControl/>
      </w:pPr>
      <w:r>
        <w:t>11.3 Der Arbeitnehmer verpflichtet sich, bei der Ausübung von Ehrenämtern, gleich welcher Art, auf die Interessen des Arbeitgebers in angemessener Weise Rücksicht zu nehmen.</w:t>
      </w:r>
    </w:p>
    <w:p>
      <w:pPr>
        <w:pStyle w:val="Heading1"/>
      </w:pPr>
      <w:r>
        <w:t>12 Nebenbeschäftigung</w:t>
      </w:r>
    </w:p>
    <w:p>
      <w:pPr>
        <w:widowControl/>
      </w:pPr>
      <w:r>
        <w:t>12.1 Der Arbeitnehmer verpflichtet sich, eine Nebentätigkeit während der Dauer des Arbeitsverhältnisses nur mit vorheriger schriftlicher Zustimmung des Arbeitgebers zu übernehmen.</w:t>
      </w:r>
    </w:p>
    <w:p>
      <w:pPr>
        <w:widowControl/>
      </w:pPr>
      <w:r>
        <w:t>12.2 Der Arbeitgeber hat die Entscheidung über den Antrag des Arbeitnehmers auf Zustimmung zur Nebentätigkeit innerhalb von zwei Wochen nach Eingang des Antrages zu treffen. Wird innerhalb dieser Frist eine Verweigerung der Zustimmung zur Nebentätigkeit nicht erklärt, gilt die Zustimmung als erteilt.</w:t>
      </w:r>
    </w:p>
    <w:p>
      <w:pPr>
        <w:pStyle w:val="Heading1"/>
      </w:pPr>
      <w:r>
        <w:t>13 Kündigungsfristen</w:t>
      </w:r>
    </w:p>
    <w:p>
      <w:pPr>
        <w:widowControl/>
      </w:pPr>
      <w:r>
        <w:t>13.1 Die ersten sechs Monate des Arbeitsverhältnisses gelten gemäß Paragraf  1 Abs.</w:t>
      </w:r>
    </w:p>
    <w:p>
      <w:pPr>
        <w:widowControl/>
      </w:pPr>
      <w:r>
        <w:t>13.2 als Probezeit. Innerhalb der Probezeit kann das Arbeitsverhältnis mit einer Frist von zwei Wochen gekündigt werden.</w:t>
      </w:r>
    </w:p>
    <w:p>
      <w:pPr>
        <w:widowControl/>
      </w:pPr>
      <w:r>
        <w:t>13.2 Nach Ablauf der Probezeit beträgt die Kündigungsfrist 3 Monate zum Quartalsende.</w:t>
      </w:r>
    </w:p>
    <w:p>
      <w:pPr>
        <w:widowControl/>
      </w:pPr>
      <w:r>
        <w:t>13.3 Jede gesetzliche Verlängerung der Kündigungsfrist zu Gunsten des Arbeitnehmers gilt auch zu Gunsten des Arbeitgebers.</w:t>
      </w:r>
    </w:p>
    <w:p>
      <w:pPr>
        <w:pStyle w:val="Heading1"/>
      </w:pPr>
      <w:r>
        <w:t>14 Beendigung des Arbeitsverhältnisses mit Erreichen der Regelaltersgrenze</w:t>
      </w:r>
    </w:p>
    <w:p>
      <w:pPr>
        <w:widowControl/>
      </w:pPr>
      <w:r>
        <w:t>14.1 Das Arbeitsverhältnis endet spätestens, ohne dass es einer Kündigung bedarf, mit Ablauf des Monats, in dem der Arbeitnehmer die Regelaltersgrenze der gesetzlichen Rentenversicherung erreicht und an den unmittelbar anschließend der Arbeitnehmer Anspruch auf eine gesetzliche Regelaltersrente hat.</w:t>
      </w:r>
    </w:p>
    <w:p>
      <w:pPr>
        <w:widowControl/>
      </w:pPr>
      <w:r>
        <w:t>14.2 Die Regelung zur Altersgrenze in Abs.</w:t>
      </w:r>
    </w:p>
    <w:p>
      <w:pPr>
        <w:widowControl/>
      </w:pPr>
      <w:r>
        <w:t>14.1 tangiert nicht das jeweilige Recht der Arbeitsvertragsparteien zur ordentlichen Kündigung des Arbeitsverhältnisses. Die Regelung dient einer sachgerechten, berechenbaren Personal- und Nachwuchsplanung und einer in der Altersstruktur ausgewogenen Personalverwaltung.</w:t>
      </w:r>
    </w:p>
    <w:p>
      <w:pPr>
        <w:pStyle w:val="Heading1"/>
      </w:pPr>
      <w:r>
        <w:t>15 Ausschlussfristen</w:t>
      </w:r>
    </w:p>
    <w:p>
      <w:pPr>
        <w:widowControl/>
      </w:pPr>
      <w:r>
        <w:t>15.1 Alle beiderseitigen Ansprüche aus dem und/oder im Zusammenhang mit dem Arbeitsverhältnis müssen innerhalb einer Frist von drei Monaten nach Fälligkeit in Textform gegenüber der anderen Vertragspartei geltend gemacht werden, ansonsten verfallen sie. Die Nichteinhaltung dieser Ausschlussfrist führt zum Verlust des Anspruchs.</w:t>
      </w:r>
    </w:p>
    <w:p>
      <w:pPr>
        <w:widowControl/>
      </w:pPr>
      <w:r>
        <w:t>15.2 Lehnt die jeweils andere Vertragspartei den Anspruch in Textform ab oder erklärt sie sich nicht innerhalb von zwei Wochen nach der Geltendmachung des Anspruches in Textform, so verfällt der Anspruch, wenn er nicht innerhalb einer weiteren Frist von drei Monaten nach der Ablehnung oder nach dem Fristablauf gerichtlich geltend gemacht wird. Die Nichteinhaltung dieser Ausschlussfrist führt zum Verlust des Anspruchs.</w:t>
      </w:r>
    </w:p>
    <w:p>
      <w:pPr>
        <w:widowControl/>
      </w:pPr>
      <w:r>
        <w:t>15.3 Die Ausschlussfristen gelten nicht für unverzichtbare Ansprüche, die kraft Gesetzes der Regelung durch Ausschlussfristen entzogen sind (zum Beispiel AEntG, MiLoG, PflegeArbbV, BetrVG, TVG). Die Ausschlussfristen gelten auch nicht für Ansprüche aus vorsätzlich oder grob fahrlässig begangener (Vertrags-)Pflichtverletzung oder unerlaubter Handlung.</w:t>
      </w:r>
    </w:p>
    <w:p>
      <w:pPr>
        <w:widowControl/>
      </w:pPr>
      <w:r>
        <w:t>15.4 Die Vorschriften des Verjährungsrechts ( Paragrafen  194 ff. BGB) finden keine entsprechende Anwendung.</w:t>
      </w:r>
    </w:p>
    <w:p>
      <w:pPr>
        <w:pStyle w:val="Heading1"/>
      </w:pPr>
      <w:r>
        <w:t>16 Schriftformklausel</w:t>
      </w:r>
    </w:p>
    <w:p>
      <w:pPr>
        <w:widowControl/>
      </w:pPr>
      <w:r>
        <w:t>16.1 Änderungen und/oder Ergänzungen des Arbeitsvertrages bedürfen der Schriftform, die elektronische Form ist ausgeschlossen.</w:t>
      </w:r>
    </w:p>
    <w:p>
      <w:pPr>
        <w:widowControl/>
      </w:pPr>
      <w:r>
        <w:t>16.2 Das Schriftformerfordernis gilt nicht für individuelle vertragliche Abreden zwischen Arbeitgeber und Arbeitnehmer zur Abänderung und/oder Ergänzung des Arbeitsvertrages.</w:t>
      </w:r>
    </w:p>
    <w:p>
      <w:pPr>
        <w:pStyle w:val="Heading1"/>
      </w:pPr>
      <w:r>
        <w:t>17 Salvatorische Klausel</w:t>
      </w:r>
    </w:p>
    <w:p>
      <w:pPr>
        <w:widowControl/>
      </w:pPr>
      <w:r>
        <w:t>Sollte eine Bestimmung dieses Vertrages und/oder seine Änderungen beziehungsweise Ergänzungen unwirksam sein oder werden, so wird hierdurch die Gültigkeit der übrigen Bestimmungen im Vertrag nicht berührt. Den Arbeitgeber und den Arbeitnehmer trifft bei Unwirksamkeit einer Bestimmung die Pflicht, über eine wirksame und zumutbare Ersatzregelung zu verhandeln, die dem von den Arbeitsvertragsparteien mit der unwirksamen Bestimmung verfolgten wirtschaftlichen Zweck am nächsten kommt.</w:t>
      </w:r>
    </w:p>
    <w:p>
      <w:pPr>
        <w:pStyle w:val="Heading1"/>
      </w:pPr>
      <w:r>
        <w:t>18 Vertragsaushändigung</w:t>
      </w:r>
    </w:p>
    <w:p>
      <w:pPr>
        <w:widowControl/>
      </w:pPr>
      <w:r>
        <w:t>Arbeitgeber und Arbeitnehmer erklären und versichern durch ihre Unterschrift, jeweils ein Exemplar dieses Vertrages im Original wechselseitig unterzeichnet erhalten zu haben.</w:t>
      </w:r>
    </w:p>
    <w:p>
      <w:pPr>
        <w:pStyle w:val="Heading1"/>
      </w:pPr>
      <w:r>
        <w:t>19 Konkretisierung der Aufgaben</w:t>
      </w:r>
    </w:p>
    <w:p>
      <w:pPr>
        <w:widowControl/>
      </w:pPr>
      <w:r>
        <w:t>Sie betreuen das Ideenportal der Werkstatt, beschreiben Verbesserungen am Akkueinschub und bereiten Wirtschaftlichkeitsdaten für die Produktbesprechung auf. Sie holen Angebote für Prototypenteile ein und dokumentieren Lieferzusagen. Bestellungen dürfen erst nach schriftlicher Freigabe des Einkaufs ausgelöst werden.</w:t>
      </w:r>
    </w:p>
    <w:p>
      <w:pPr>
        <w:widowControl/>
      </w:pPr>
      <w:r>
        <w:t>Die Tätigkeit umfasst keine eigenständige Freigabe sicherheitsrelevanter Bauteile. Beim Öffnen von Akkupacks und beim Arbeiten an der Prüfeinrichtung werden Sie von einem eingewiesenen Techniker begleitet. Wöchentliche Werkstattbegehungen dienen der Aufnahme von Anregungen und werden im Verbesserungsbuch mit Datum geführt.</w:t>
      </w:r>
    </w:p>
    <w:p>
      <w:pPr>
        <w:pStyle w:val="Heading1"/>
      </w:pPr>
      <w:r>
        <w:t>20 Zusammenarbeit und Arbeitsmittel</w:t>
      </w:r>
    </w:p>
    <w:p>
      <w:pPr>
        <w:widowControl/>
      </w:pPr>
      <w:r>
        <w:t>Die Tätigkeit wird im gemeinsamen Berliner Betrieb erbracht. Arbeitsaufträge, Besprechungen und technische Freigaben werden in einem gemeinsamen Projektsystem dokumentiert. Persönliche Zugangsdaten werden nicht mit Kollegen geteilt. Der Arbeitgeber stellt die erforderlichen Geräte und hält ihren Ausgabezustand im Inventar fest. Bei einem Defekt ist zuerst der interne Support zu informieren; die Beschaffung eines Ersatzgeräts auf eigene Rechnung wird nicht verlangt.</w:t>
      </w:r>
    </w:p>
    <w:p>
      <w:pPr>
        <w:widowControl/>
      </w:pPr>
      <w:r>
        <w:t>Die fachlichen Aufgaben werden mit dem zuständigen Team abgestimmt. Terminangaben gegenüber Kunden sind mit dem tatsächlichen Bearbeitungsstand abzugleichen. Wird ein Arbeitsschritt wegen fehlender Unterlagen nicht fortgeführt, werden Grund und fehlende Unterlage im Vorgang festgehalten. Es wird kein bestimmter wirtschaftlicher Erfolg als persönliche Garantie versprochen.</w:t>
      </w:r>
    </w:p>
    <w:p>
      <w:pPr>
        <w:widowControl/>
      </w:pPr>
      <w:r>
        <w:t>Dienstreisen, notwendige Schulungen und die Bereitstellung neuer Arbeitsmittel werden vorab vereinbart. Die Gesellschaft trägt die Kosten angeordneter Schulungen und der notwendigen Dienstreise. Eine Rückzahlung von Schulungskosten bedarf einer gesonderten Vereinbarung mit Bezeichnung der Maßnahme und der übernommenen Kosten.</w:t>
      </w:r>
    </w:p>
    <w:p>
      <w:pPr>
        <w:pStyle w:val="Heading1"/>
      </w:pPr>
      <w:r>
        <w:t>21 Übergabe und Aufbewahrung</w:t>
      </w:r>
    </w:p>
    <w:p>
      <w:pPr>
        <w:widowControl/>
      </w:pPr>
      <w:r>
        <w:t>Aufgabenbezogene Unterlagen sind so abzulegen, dass ein eingewiesener Vertreter den Bearbeitungsstand feststellen kann. Hierzu gehören offene Rückfragen, die zuletzt versendete Fassung und die zugehörigen Anlagen. Nicht freigegebene Dateien werden von der freigegebenen Kundenfassung getrennt aufbewahrt. Private Unterlagen sind vor einer Rückgabe des Geräts in Abstimmung mit dem Support zu entfernen.</w:t>
      </w:r>
    </w:p>
    <w:p>
      <w:pPr>
        <w:widowControl/>
      </w:pPr>
      <w:r>
        <w:t>Bei Beendigung oder einem vereinbarten Aufgabenwechsel werden Arbeitsmittel gegen Empfangsbestätigung zurückgegeben. Ausstehende Vergütung wird nicht allein deshalb einbehalten, weil eine technische Übergabe noch nicht abgeschlossen ist. Es werden weder private Passwörter verlangt noch private Konten an den Arbeitgeber übertragen.</w:t>
      </w:r>
    </w:p>
    <w:p>
      <w:pPr>
        <w:widowControl/>
      </w:pPr>
      <w:r>
        <w:t>Eine Änderung der Organisationsstruktur wird gesondert mitgeteilt. Die hier beschriebene Aufgabe erteilt keine Vollmacht, Arbeitnehmer einzustellen, zu entlassen oder die Gesellschaft vor Gericht zu vertreten. Abweichende rechtsgeschäftliche Vollmachten werden mit Umfang und Geltungsdauer gesondert dokumentiert.</w:t>
      </w:r>
    </w:p>
    <w:p>
      <w:pPr>
        <w:widowControl/>
      </w:pPr>
      <w:r>
        <w:t>Berlin, 20.12.2023</w:t>
      </w:r>
    </w:p>
    <w:p>
      <w:pPr>
        <w:widowControl/>
      </w:pPr>
      <w:r>
        <w:t>Für die Innovation Systems GmbH: Charlotte Reuter</w:t>
      </w:r>
    </w:p>
    <w:p>
      <w:pPr>
        <w:widowControl/>
      </w:pPr>
      <w:r>
        <w:t>Maximilian Fischer</w:t>
      </w:r>
    </w:p>
    <w:p>
      <w:pPr>
        <w:widowControl/>
      </w:pPr>
      <w:r>
        <w:t>Ausfertigung für die Personalregistratur. Namen der Unterzeichner aus dem Vertragsblatt übernommen.</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P007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Innovation Systems GmbH  |  P007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