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Betriebsrat Innovation Systems GmbH</w:t>
      </w:r>
    </w:p>
    <w:p>
      <w:r>
        <w:t>Rudower Chaussee 29, 12489 Berlin</w:t>
      </w:r>
    </w:p>
    <w:p>
      <w:pPr>
        <w:pStyle w:val="Title"/>
      </w:pPr>
      <w:r>
        <w:t>Niederschrift der Betriebsbesprechung</w:t>
      </w:r>
    </w:p>
    <w:p>
      <w:pPr>
        <w:widowControl/>
      </w:pPr>
      <w:r>
        <w:t>Berlin, 07.09.2026, 09:30 bis 10:55 Uhr</w:t>
        <w:br/>
        <w:t>Teilnehmer: Aylin Yılmaz, Thomas Groß, Katharina Voß, Dr. Martin Feldmann, Elias Becker.</w:t>
        <w:br/>
        <w:t>Protokoll: Katharina Voß.</w:t>
      </w:r>
    </w:p>
    <w:p>
      <w:pPr>
        <w:pStyle w:val="Heading1"/>
      </w:pPr>
      <w:r>
        <w:t>1 Erwerbsinteresse</w:t>
      </w:r>
    </w:p>
    <w:p>
      <w:pPr>
        <w:widowControl/>
      </w:pPr>
      <w:r>
        <w:t>Herr Feldmann erläutert, dass der Kaufvertrag noch nicht unterschrieben ist. Die Zahl 42 stammt aus der Käuferplanung. Frau Yılmaz fragt, ob die bisher von sechs Produktmitarbeitern betreuten Kundenaufgaben künftig entfallen oder auf Softwareentwickler verteilt werden sollen. Dazu liegt noch keine schriftliche Antwort der Käuferin vor. Herr Groß verweist auf die weiterhin offenen Reparaturen und die zwei nicht besetzten Urlaubsvertretungen in der Werkstatt.</w:t>
      </w:r>
    </w:p>
    <w:p>
      <w:pPr>
        <w:pStyle w:val="Heading1"/>
      </w:pPr>
      <w:r>
        <w:t>2 Vertragsablage</w:t>
      </w:r>
    </w:p>
    <w:p>
      <w:pPr>
        <w:widowControl/>
      </w:pPr>
      <w:r>
        <w:t>Herr Becker berichtet, dass neun ältere Vertragsfassungen am 20.12.2023 beziehungsweise am 27.06.2025 neu abgelegt wurden. Die Eintritte in den älteren Fassungen bleiben in den Stammdaten bestehen. Für Jonas Winter findet er bisher nur die E-Mail-Zusage und eine nicht unterschriebene Anlage. Die Nachträge von Lea Sommer liegen in einem separaten Ordner. Frau Voß bittet darum, den tatsächlichen Stand nicht durch eine einheitliche Datumsangabe zu überschreiben.</w:t>
      </w:r>
    </w:p>
    <w:p>
      <w:pPr>
        <w:pStyle w:val="Heading1"/>
      </w:pPr>
      <w:r>
        <w:t>3 Arbeitsorganisation</w:t>
      </w:r>
    </w:p>
    <w:p>
      <w:pPr>
        <w:widowControl/>
      </w:pPr>
      <w:r>
        <w:t>Herr Groß bestätigt, dass die Werkstatt weiterhin montags bis freitags arbeitet. Es gibt keinen stillgelegten räumlich getrennten Betriebsteil. Entwickler und Produktteam nutzen denselben Leitstand; Hardware, Erprobung und Service stimmen ihre Arbeiten täglich um 09:15 Uhr ab. Außeneinsätze werden zentral geplant. Die Käuferin hat im Betrieb noch keine Arbeitsanweisungen erteilt.</w:t>
      </w:r>
    </w:p>
    <w:p>
      <w:pPr>
        <w:pStyle w:val="Heading1"/>
      </w:pPr>
      <w:r>
        <w:t>4 Fortsetzung</w:t>
      </w:r>
    </w:p>
    <w:p>
      <w:pPr>
        <w:widowControl/>
      </w:pPr>
      <w:r>
        <w:t>Die Beteiligten vereinbaren ein weiteres Gespräch für den 09.09.2026 um 11:30 Uhr. Eine abschließende Stellungnahme des Betriebsrats wird heute nicht abgegeben. Ein Interessenausgleich, Sozialplan oder eine Namensliste wird nicht beschlossen. Das Protokoll wird am selben Nachmittag per E-Mail an alle Teilnehmer versandt.</w:t>
      </w:r>
    </w:p>
    <w:p>
      <w:pPr>
        <w:widowControl/>
      </w:pPr>
      <w:r>
        <w:t>Katharina Voß</w:t>
        <w:br/>
        <w:t>Aylin Yılmaz</w:t>
      </w:r>
    </w:p>
    <w:p>
      <w:pPr>
        <w:widowControl/>
      </w:pPr>
      <w:r>
        <w:t>Versandt am 07.09.2026, 16:42 Uhr.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BR-070926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Betriebsrat Innovation Systems GmbH  |  BR-070926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Betriebsbesprechung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