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Gesellschaftsvertrag der Schnittflug Robotics GmbH</w:t>
      </w:r>
    </w:p>
    <w:p>
      <w:pPr>
        <w:pStyle w:val="Subtitle"/>
      </w:pPr>
      <w:r>
        <w:t>Gründerkreis Schnittflug · Verhandlungsstand</w:t>
      </w:r>
    </w:p>
    <w:p>
      <w:r>
        <w:t>25. September 2026</w:t>
      </w:r>
    </w:p>
    <w:p>
      <w:r>
        <w:t>Arbeitsentwurf zur beabsichtigten Bargründung. Der Gründerkreis hat diesen Text noch nicht beschlossen oder beurkundet. Der erbetene Notartermin am 15. Oktober ist nicht bestätigt. Personendaten und Identitätsnachweise werden dem Notariat gesondert übermittelt.</w:t>
      </w:r>
    </w:p>
    <w:p>
      <w:pPr>
        <w:pStyle w:val="Heading1"/>
      </w:pPr>
      <w:r>
        <w:t>1 Firma Sitz und Geschäftsjahr</w:t>
      </w:r>
    </w:p>
    <w:p>
      <w:r>
        <w:t>1.1 Die Firma der Gesellschaft lautet Schnittflug Robotics GmbH. Sitz der Gesellschaft ist Berlin.</w:t>
      </w:r>
    </w:p>
    <w:p>
      <w:r>
        <w:t>1.2 Das Geschäftsjahr ist das Kalenderjahr. Das erste Geschäftsjahr beginnt mit der Eintragung in das Handelsregister und endet am folgenden 31. Dezember.</w:t>
      </w:r>
    </w:p>
    <w:p>
      <w:pPr>
        <w:pStyle w:val="Heading1"/>
      </w:pPr>
      <w:r>
        <w:t>2 Gegenstand des Unternehmens</w:t>
      </w:r>
    </w:p>
    <w:p>
      <w:r>
        <w:t>2.1 Gegenstand des Unternehmens sind die Entwicklung, Herstellung und der Vertrieb von robotischen Systemen und Software für Haarpflege, die damit verbundenen Forschungs- und Entwicklungsleistungen sowie die Erbringung von Haarpflegeleistungen, soweit die hierfür erforderlichen Erlaubnisse und sonstigen gesetzlichen Voraussetzungen vorliegen.</w:t>
      </w:r>
    </w:p>
    <w:p>
      <w:r>
        <w:t>2.2 Die Gesellschaft darf im In- und Ausland Zweigniederlassungen errichten, sich an anderen Unternehmen beteiligen und Geschäfte vornehmen, die ihrem Unternehmensgegenstand dienen. Tätigkeiten, für die eine gesonderte öffentlich-rechtliche Erlaubnis erforderlich ist, werden erst nach deren Vorliegen aufgenommen.</w:t>
      </w:r>
    </w:p>
    <w:p>
      <w:pPr>
        <w:pStyle w:val="Heading1"/>
      </w:pPr>
      <w:r>
        <w:t>3 Stammkapital und Geschäftsanteile</w:t>
      </w:r>
    </w:p>
    <w:p>
      <w:r>
        <w:t>3.1 Das Stammkapital beträgt 25.000,00 EUR. Es ist in sieben Geschäftsanteile eingeteilt. Ottilie Kühnle übernimmt den Geschäftsanteil Nummer 1 im Nennbetrag von 5.250,00 EUR. Eberhard Demir übernimmt den Geschäftsanteil Nummer 2 im Nennbetrag von 5.500,00 EUR. Kunigunde Nguyen übernimmt den Geschäftsanteil Nummer 3 im Nennbetrag von 4.500,00 EUR. Nepomuk Huber übernimmt den Geschäftsanteil Nummer 4 im Nennbetrag von 3.750,00 EUR. Wilhelmine Okafor übernimmt den Geschäftsanteil Nummer 5 im Nennbetrag von 2.500,00 EUR. Alois Rossi übernimmt den Geschäftsanteil Nummer 6 im Nennbetrag von 2.000,00 EUR. Thekla Ben-Ami übernimmt den Geschäftsanteil Nummer 7 im Nennbetrag von 1.500,00 EUR.</w:t>
      </w:r>
    </w:p>
    <w:p>
      <w:r>
        <w:t>3.2 Die Einlagen sind in Geld zu leisten und nach der Beurkundung auf Anforderung der Geschäftsführung vollständig auf das für die Gesellschaft eröffnete Konto einzuzahlen. Private Aufwendungen, Arbeitsleistungen und bereitgestellte Gegenstände ersetzen die Geldeinlagen nicht. Eine Aufrechnung gegen die Einlageforderung erfolgt nicht.</w:t>
      </w:r>
    </w:p>
    <w:p>
      <w:r>
        <w:t>3.3 Die Geschäftsführung darf die Anmeldung zum Handelsregister erst veranlassen, wenn die gesetzlichen Voraussetzungen erfüllt und die dafür abgegebenen Versicherungen zutreffend sind. Diese Satzung bestätigt keine bereits erfolgte Einzahlung.</w:t>
      </w:r>
    </w:p>
    <w:p>
      <w:pPr>
        <w:pStyle w:val="Heading1"/>
      </w:pPr>
      <w:r>
        <w:t>4 Geschäftsführung und Vertretung</w:t>
      </w:r>
    </w:p>
    <w:p>
      <w:r>
        <w:t>4.1 Die Gesellschaft hat einen oder mehrere Geschäftsführer. Ist nur ein Geschäftsführer bestellt, vertritt er die Gesellschaft allein. Sind mehrere Geschäftsführer bestellt, wird sie durch zwei Geschäftsführer gemeinschaftlich oder durch einen Geschäftsführer gemeinschaftlich mit einem Prokuristen vertreten.</w:t>
      </w:r>
    </w:p>
    <w:p>
      <w:r>
        <w:t>4.2 Die Gesellschafterversammlung kann einem Geschäftsführer durch ausdrücklichen Beschluss Einzelvertretungsbefugnis und Befreiung von den Beschränkungen des § 181 BGB erteilen. Die Bestellung als solche enthält diese Befugnisse nicht.</w:t>
      </w:r>
    </w:p>
    <w:p>
      <w:r>
        <w:t>4.3 Die Gesellschafterversammlung erlässt eine Geschäftsordnung für die Geschäftsführung. Die Geschäftsordnung kann Ressorts, Berichtspflichten und zustimmungspflichtige Geschäfte bestimmen. Beschränkungen nach der Geschäftsordnung betreffen das Innenverhältnis; gesetzliche Grenzen der Außenvertretung bleiben unberührt.</w:t>
      </w:r>
    </w:p>
    <w:p>
      <w:pPr>
        <w:pStyle w:val="Heading1"/>
      </w:pPr>
      <w:r>
        <w:t>5 Gesellschafterversammlung</w:t>
      </w:r>
    </w:p>
    <w:p>
      <w:r>
        <w:t>5.1 Die Geschäftsführer laden sämtliche Gesellschafter in Textform mit einer Frist von vierzehn Tagen unter Angabe von Ort, Zeit und Tagesordnung ein. Die Frist beginnt am Tag nach Zugang der Einladung. Änderungen der Satzung und Kapitalmaßnahmen sind mit ihrem beabsichtigten Inhalt anzukündigen.</w:t>
      </w:r>
    </w:p>
    <w:p>
      <w:r>
        <w:t>5.2 Versammlungen können unter Nutzung einer Bild- und Tonverbindung stattfinden, wenn die Identität der Teilnehmer, gleichzeitige Beratung und zuverlässige Stimmabgabe gewährleistet sind. Kein Gesellschafter darf wegen unzumutbarer technischer Hindernisse von der Teilnahme ausgeschlossen werden. Notarielle Formvorschriften bleiben unberührt.</w:t>
      </w:r>
    </w:p>
    <w:p>
      <w:r>
        <w:t>5.3 Die Versammlung ist beschlussfähig, wenn mindestens 70 Prozent des stimmberechtigten Stammkapitals vertreten sind. Fehlt die Beschlussfähigkeit, ist unter Beachtung derselben Einladungsfrist eine neue Versammlung mit gleicher Tagesordnung einzuberufen. Diese ist unabhängig vom vertretenen Kapital beschlussfähig, wenn die Einladung ausdrücklich auf diese Folge hinweist. Gesetzliche Zustimmungserfordernisse und Sonderrechte bleiben bestehen.</w:t>
      </w:r>
    </w:p>
    <w:p>
      <w:pPr>
        <w:pStyle w:val="Heading1"/>
      </w:pPr>
      <w:r>
        <w:t>6 Stimmrecht und Beschlüsse</w:t>
      </w:r>
    </w:p>
    <w:p>
      <w:r>
        <w:t>6.1 Je ein Euro eines Geschäftsanteils gewährt eine Stimme. Gesetzliche Stimmverbote sind zu beachten. Enthaltungen zählen nicht als abgegebene Stimmen. Soweit Gesetz oder Satzung nichts anderes bestimmen, werden Beschlüsse mit einfacher Mehrheit der gültig abgegebenen Stimmen gefasst.</w:t>
      </w:r>
    </w:p>
    <w:p>
      <w:r>
        <w:t>6.2 Änderungen des Gesellschaftsvertrags, Kapitalerhöhungen, Kapitalherabsetzungen, Auflösung und Umwandlungsmaßnahmen sowie die Einführung oder Erweiterung eines Beirats mit Entscheidungsbefugnissen bedürfen mindestens 75 Prozent der gültig abgegebenen Stimmen. Höhere gesetzliche Mehrheiten und erforderliche Einzelzustimmungen bleiben unberührt.</w:t>
      </w:r>
    </w:p>
    <w:p>
      <w:r>
        <w:t>6.3 Beschlüsse außerhalb einer Versammlung sind zulässig, wenn sämtliche Gesellschafter dem gewählten Verfahren in Textform zustimmen und zwingende Formvorschriften gewahrt werden. Der Beschlusstext, das Ergebnis, Stimmverbote und die Abstimmenden sind unverzüglich allen Gesellschaftern mitzuteilen. Ein Schweigen gilt nicht als Zustimmung.</w:t>
      </w:r>
    </w:p>
    <w:p>
      <w:pPr>
        <w:pStyle w:val="Heading1"/>
      </w:pPr>
      <w:r>
        <w:t>7 Zustimmungsbedürftige Geschäfte</w:t>
      </w:r>
    </w:p>
    <w:p>
      <w:r>
        <w:t>7.1 Der Erwerb oder die Veräußerung von Beteiligungen, die Veräußerung des Unternehmens oder wesentlicher Betriebsmittel, die Aufnahme von Darlehen außerhalb des genehmigten Budgets sowie Rechtsgeschäfte mit Gesellschaftern oder ihnen nahestehenden Personen bedürfen vor ihrer Vornahme eines Gesellschafterbeschlusses. Soweit nicht Nummer 6.2 oder zwingendes Recht gilt, genügt die einfache Mehrheit.</w:t>
      </w:r>
    </w:p>
    <w:p>
      <w:r>
        <w:t>7.2 Die Geschäftsordnung kann weitere Zustimmungstatbestände und angemessene Wertgrenzen festlegen. Sie darf die Satzung nicht ändern und keine Rechte entziehen, deren Änderung gesetzlich einer besonderen Zustimmung bedarf.</w:t>
      </w:r>
    </w:p>
    <w:p>
      <w:pPr>
        <w:pStyle w:val="Heading1"/>
      </w:pPr>
      <w:r>
        <w:t>8 Verfügung über Geschäftsanteile</w:t>
      </w:r>
    </w:p>
    <w:p>
      <w:r>
        <w:t>8.1 Abtretung, Verpfändung und Nießbrauchbestellung an Geschäftsanteilen bedürfen der Zustimmung der Gesellschafterversammlung. Die Zustimmung ist mit mindestens 75 Prozent der gültig abgegebenen Stimmen zu erteilen. Gesetzliche Formvorschriften bleiben unberührt.</w:t>
      </w:r>
    </w:p>
    <w:p>
      <w:r>
        <w:t>8.2 Die Zustimmung kann davon abhängig gemacht werden, dass ein Erwerber die der Gesellschaft offengelegte Gesellschaftervereinbarung in der erforderlichen Form übernimmt. Eine schuldrechtliche Beitrittsverpflichtung ersetzt weder die Abtretung noch erforderliche gesellschaftsrechtliche Beschlüsse.</w:t>
      </w:r>
    </w:p>
    <w:p>
      <w:r>
        <w:t>8.3 Eine Anteilsübertragung oder ein Ausscheiden wegen Beendigung der Mitarbeit tritt nicht allein durch diese Satzung ein. Etwaige Rückerwerbsrechte werden gesondert und in der erforderlichen Form vereinbart. Eine Einziehung gegen den Willen des Betroffenen wird durch diese Satzung nicht eingeführt.</w:t>
      </w:r>
    </w:p>
    <w:p>
      <w:pPr>
        <w:pStyle w:val="Heading1"/>
      </w:pPr>
      <w:r>
        <w:t>9 Information und Gewinnverwendung</w:t>
      </w:r>
    </w:p>
    <w:p>
      <w:r>
        <w:t>9.1 Die Geschäftsführung übersendet den Gesellschaftern monatlich einen Bericht über Liquidität, wesentliche Verpflichtungen, Entwicklungsfortschritt und Abweichungen vom genehmigten Budget. Gesetzliche Auskunfts- und Einsichtsrechte werden dadurch nicht beschränkt.</w:t>
      </w:r>
    </w:p>
    <w:p>
      <w:r>
        <w:t>9.2 Über Feststellung des Jahresabschlusses und Ergebnisverwendung beschließt die Gesellschafterversammlung. Vor Ausschüttungen sind der absehbare Finanzbedarf und die gesetzlichen Kapitalerhaltungsregeln zu berücksichtigen. Die Verteilung erfolgt im Verhältnis der Nennbeträge, soweit nicht mit Zustimmung sämtlicher betroffener Gesellschafter wirksam etwas anderes beschlossen wird.</w:t>
      </w:r>
    </w:p>
    <w:p>
      <w:pPr>
        <w:pStyle w:val="Heading1"/>
      </w:pPr>
      <w:r>
        <w:t>10 Beirat</w:t>
      </w:r>
    </w:p>
    <w:p>
      <w:r>
        <w:t>10.1 Die Gesellschafterversammlung kann einen beratenden Beirat mit bis zu drei Mitgliedern einrichten. Seine Mitglieder unterstützen die Geschäftsführung, besitzen aber aufgrund dieser Bestimmung keine Geschäftsführungs-, Vertretungs- oder Abberufungsbefugnis.</w:t>
      </w:r>
    </w:p>
    <w:p>
      <w:r>
        <w:t>10.2 Aufgaben, Bestellung, Amtsdauer, Vergütung und Vertraulichkeit regelt eine Beiratsordnung. Soll dem Beirat eine Organkompetenz übertragen werden, die einer Satzungsgrundlage bedarf, sind zuvor die erforderliche Satzungsänderung und ihr Registervollzug vorzunehmen.</w:t>
      </w:r>
    </w:p>
    <w:p>
      <w:pPr>
        <w:pStyle w:val="Heading1"/>
      </w:pPr>
      <w:r>
        <w:t>11 Gründungsaufwand</w:t>
      </w:r>
    </w:p>
    <w:p>
      <w:r>
        <w:t>11.1 Die Gesellschaft trägt die Kosten der notariellen Gründung, der Registeranmeldung und Registereintragung sowie der unmittelbar hiermit verbundenen rechtlichen und steuerlichen Gründungsberatung bis zu einem Gesamtbetrag von 2.500,00 EUR einschließlich Umsatzsteuer. Darüber hinausgehende Gründungskosten tragen die Gründer im Verhältnis ihrer übernommenen Nennbeträge.</w:t>
      </w:r>
    </w:p>
    <w:p>
      <w:r>
        <w:t>11.2 Die in privaten Bestellungen begründeten Entwicklungsausgaben werden von dieser Kostenregelung nicht erfasst. Ihre etwaige Übernahme erfordert eine gesonderte Prüfung und Vereinbarung; sie werden nicht auf die Geldeinlagen angerechnet.</w:t>
      </w:r>
    </w:p>
    <w:p>
      <w:pPr>
        <w:pStyle w:val="Heading1"/>
      </w:pPr>
      <w:r>
        <w:t>12 Schlussbestimmungen</w:t>
      </w:r>
    </w:p>
    <w:p>
      <w:r>
        <w:t>12.1 Bekanntmachungen erfolgen im gesetzlich vorgesehenen Medium. Änderungen dieser Satzung bedürfen der gesetzlichen Form und des erforderlichen Registervollzugs.</w:t>
      </w:r>
    </w:p>
    <w:p>
      <w:r>
        <w:t>12.2 Sollte eine Bestimmung unwirksam sein, bleiben die übrigen Bestimmungen bestehen, soweit dies mit dem Zweck des Gesellschaftsvertrags vereinbar ist. Die Gesellschafter werden über eine rechtlich zulässige Regelung beraten, die dem gemeinsam verfolgten Zweck möglichst nahekommt; eine unwirksame Klausel wird nicht automatisch auf ein vermeintlich zulässiges Maß reduziert.</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 der Schnittflug Robotics GmbH</dc:title>
  <dc:subject>Schnittflug Robotics – Gründungsunterlagen</dc:subject>
  <dc:creator>Gründerkreis Schnittflug · Verhandlungsstand</dc:creator>
  <cp:keywords/>
  <dc:description>generated by python-docx</dc:description>
  <cp:lastModifiedBy/>
  <cp:revision>1</cp:revision>
  <dcterms:created xsi:type="dcterms:W3CDTF">2026-09-28T09:00:00Z</dcterms:created>
  <dcterms:modified xsi:type="dcterms:W3CDTF">2026-09-28T09:00:00Z</dcterms:modified>
  <cp:category/>
</cp:coreProperties>
</file>