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Gesellschaftervereinbarung Schnittflug</w:t>
      </w:r>
    </w:p>
    <w:p>
      <w:pPr>
        <w:pStyle w:val="Subtitle"/>
      </w:pPr>
      <w:r>
        <w:t>Gründerkreis Schnittflug · Verhandlungsstand</w:t>
      </w:r>
    </w:p>
    <w:p>
      <w:r>
        <w:t>26. September 2026</w:t>
      </w:r>
    </w:p>
    <w:p>
      <w:r>
        <w:t>Deutsche Verhandlungsfassung des Gründerkreises zur geplanten Schnittflug Robotics GmbH. Noch nicht abgeschlossen. Die englische Fassung vom selben Tag dient der parallelen Verhandlung. Alle sieben natürlichen Personen sind Parteien; die künftige Gesellschaft wird hierdurch noch nicht verpflichtet.</w:t>
      </w:r>
    </w:p>
    <w:p>
      <w:pPr>
        <w:pStyle w:val="Heading1"/>
      </w:pPr>
      <w:r>
        <w:t>1 Parteien und Zweck</w:t>
      </w:r>
    </w:p>
    <w:p>
      <w:r>
        <w:t>1.1 Ottilie Kühnle, Eberhard Demir, Kunigunde Nguyen, Nepomuk Huber, Wilhelmine Okafor, Alois Rossi und Thekla Ben-Ami vereinbaren die nachstehenden Regeln für ihre Zusammenarbeit als künftige Gesellschafter der Schnittflug Robotics GmbH. Sie verfolgen die Entwicklung eines robotischen Haarpflegesystems unter der Marke Drohnenfriseur.</w:t>
      </w:r>
    </w:p>
    <w:p>
      <w:r>
        <w:t>1.2 Der Beteiligungsplan umfasst 25.000,00 EUR Stammkapital mit 21 Prozent für Ottilie, 22 Prozent für Eberhard, 18 Prozent für Kunigunde, 15 Prozent für Nepomuk, 10 Prozent für Wilhelmine, 8 Prozent für Alois und 6 Prozent für Thekla. Diese Quoten beziehen sich auf die Gründung und enthalten keine Garantie unveränderlicher Prozentsätze bei späteren Finanzierungen.</w:t>
      </w:r>
    </w:p>
    <w:p>
      <w:pPr>
        <w:pStyle w:val="Heading1"/>
      </w:pPr>
      <w:r>
        <w:t>2 Tätigkeit und Vorleistungen</w:t>
      </w:r>
    </w:p>
    <w:p>
      <w:r>
        <w:t>2.1 Ottilie übernimmt die kaufmännische Koordination, Eberhard die technische Leitung, Kunigunde die Bildverarbeitung, Nepomuk die fachliche Haarpflegeentwicklung, Wilhelmine die Nutzerforschung, Alois die mechanische Entwicklung und Thekla den Aufbau von Kooperationen. Organbestellungen, Dienstverhältnisse und Vertretungsbefugnisse entstehen hierdurch nicht.</w:t>
      </w:r>
    </w:p>
    <w:p>
      <w:r>
        <w:t>2.2 Bis zum 31. Dezember 2026 sind keine Mindeststunden und keine Vergütung aufgrund dieser Vereinbarung geschuldet. Die Parteien legen ihre verfügbaren Zeiten monatlich offen. Eine verbindliche weitere Mitarbeit ab Januar setzt eine gesonderte Vereinbarung über Umfang und Vergütung voraus. Niemand darf fremde Arbeits- oder Geheimhaltungspflichten verletzen.</w:t>
      </w:r>
    </w:p>
    <w:p>
      <w:r>
        <w:t>2.3 Private Ausgaben werden in einem gemeinsamen Journal erfasst. Weder die Erfassung noch eine Freigabe im Teamchat begründet eine Einlageleistung oder einen Erstattungsanspruch gegen die noch nicht bestehende Gesellschaft. Übernahmen werden nach Prüfung des Bestellers, der Leistung und des Belegs gesondert vereinbart.</w:t>
      </w:r>
    </w:p>
    <w:p>
      <w:pPr>
        <w:pStyle w:val="Heading1"/>
      </w:pPr>
      <w:r>
        <w:t>3 Budget und Information</w:t>
      </w:r>
    </w:p>
    <w:p>
      <w:r>
        <w:t>3.1 Die Parteien wirken auf eine monatliche Liquiditätsübersicht und einen quartalsweise fortgeschriebenen Entwicklungsplan hin. Budgetänderungen, durch die die geplanten Gesamtauszahlungen eines Geschäftsjahrs um mehr als 50.000,00 EUR steigen, sollen im Verhältnis der Parteien nur mit Zustimmung Ottilies beschlossen werden. Die Parteien verpflichten sich, ohne diese Zustimmung nicht für eine entsprechende Budgetänderung zu stimmen.</w:t>
      </w:r>
    </w:p>
    <w:p>
      <w:r>
        <w:t>3.2 Dieses schuldrechtliche Zustimmungserfordernis betrifft ausschließlich die in Nummer 3.1 bezeichneten Budgetänderungen. Es begründet keine umfassende Sperrminorität und ändert die Satzung nicht. Die Geschäftsführung und die übrigen Gesellschafterbeschlüsse werden hierdurch nicht generell Ottilies Weisung unterstellt.</w:t>
      </w:r>
    </w:p>
    <w:p>
      <w:r>
        <w:t>3.3 Vertrauliche Geschäftsberichte dürfen für eigene rechtliche, steuerliche und finanzielle Beratung weitergegeben werden, wenn die Empfänger angemessen zur Vertraulichkeit verpflichtet sind. Gesetzliche Informationsrechte und gesetzlich gebotene Offenlegungen bleiben unberührt.</w:t>
      </w:r>
    </w:p>
    <w:p>
      <w:pPr>
        <w:pStyle w:val="Heading1"/>
      </w:pPr>
      <w:r>
        <w:t>4 Geistiges Eigentum und Daten</w:t>
      </w:r>
    </w:p>
    <w:p>
      <w:r>
        <w:t>4.1 Jeder Gründer legt diejenigen vorbestehenden Programme, Erfindungen, Designs, Texte und Datensammlungen offen, die für das Projekt verwendet werden sollen. Hierzu werden Urheber, Entstehungszeit, Arbeitgeberbezug, Lizenzgrundlage und etwaige Belastungen angegeben. Das Verzeichnis wird bei neuen Erkenntnissen fortgeschrieben.</w:t>
      </w:r>
    </w:p>
    <w:p>
      <w:r>
        <w:t>4.2 Ausschließliche Nutzungsrechte werden der Gesellschaft nur durch gesonderte, hinreichend bestimmte Verträge eingeräumt. Soweit Rechte Dritter oder Arbeitgeberfreigaben ungeklärt sind, darf eine ausschließliche oder lastenfreie Rechtsposition nicht zugesagt werden. Betroffene Bestandteile bleiben bis zur Klärung außerhalb einer produktiven Nutzung.</w:t>
      </w:r>
    </w:p>
    <w:p>
      <w:r>
        <w:t>4.3 Personenbezogene Kopfaufnahmen werden nur nach einer gesonderten Festlegung von Zweck, Rechtsgrundlage, Speicherfrist und Zugriffsberechtigung verarbeitet. Die Zustimmung zur Teilnahme an einer Produktbesprechung enthält keine pauschale Erlaubnis für KI-Training.</w:t>
      </w:r>
    </w:p>
    <w:p>
      <w:pPr>
        <w:pStyle w:val="Heading1"/>
      </w:pPr>
      <w:r>
        <w:t>5 Bindung und Vesting</w:t>
      </w:r>
    </w:p>
    <w:p>
      <w:r>
        <w:t>5.1 Die Parteien verhandeln über eine Bindungszeit von 48 Monaten und eine erste Freigabestufe nach zwölf Monaten. Diese Eckpunkte allein begründen weder eine Übertragungspflicht noch ein Rückerwerbsrecht. Vorarbeiten vor der Beurkundung, Krankheit, Elternzeit, Teilzeit und unfreiwilliges Ausscheiden müssen in einer gesonderten, notariell abgestimmten Vereinbarung geregelt werden.</w:t>
      </w:r>
    </w:p>
    <w:p>
      <w:r>
        <w:t>5.2 Bis zu einer wirksamen Einigung über diese Vereinbarung bleiben sämtliche Geschäftsanteile von einem allein an die Beendigung der Mitarbeit anknüpfenden Rückerwerbsrecht frei. Eine Abberufung als Geschäftsführer bewirkt keinen automatischen Verlust der Beteiligung. Gesetzliche und anderweitig wirksam begründete Ansprüche bleiben unberührt.</w:t>
      </w:r>
    </w:p>
    <w:p>
      <w:pPr>
        <w:pStyle w:val="Heading1"/>
      </w:pPr>
      <w:r>
        <w:t>6 Verkaufsangebot und Vorerwerb</w:t>
      </w:r>
    </w:p>
    <w:p>
      <w:r>
        <w:t>6.1 Beabsichtigt ein Gesellschafter nach der Gründung die Veräußerung eines Geschäftsanteils an einen Dritten, teilt er den anderen Parteien den Anteil, den vorgesehenen Erwerber, den Preis und sämtliche wesentlichen Nebenbedingungen in Textform mit. Er räumt ihnen ein Vorerwerbsrecht zu wirtschaftlich gleichen Bedingungen im Verhältnis ihrer Beteiligungen ein.</w:t>
      </w:r>
    </w:p>
    <w:p>
      <w:r>
        <w:t>6.2 Das Vorerwerbsrecht ist innerhalb von vier Wochen nach Zugang einer vollständigen Mitteilung auszuüben. Erklären mehrere Berechtigte die Ausübung, werden nicht auf volle Euro teilbare Restbeträge einvernehmlich zugeteilt; ohne Einigung erfolgt eine notarielle Abstimmung vor jeder Übertragung. Eine bloße Absichtserklärung ersetzt keinen formgerechten Anteilskauf.</w:t>
      </w:r>
    </w:p>
    <w:p>
      <w:r>
        <w:t>6.3 Nach fruchtlosem Fristablauf darf der angebotene Anteil innerhalb von drei Monaten zu keinen günstigeren Bedingungen an den benannten Dritten verkauft werden. Andernfalls ist erneut anzubieten. Die nach der Satzung erforderliche Zustimmung bleibt notwendig.</w:t>
      </w:r>
    </w:p>
    <w:p>
      <w:pPr>
        <w:pStyle w:val="Heading1"/>
      </w:pPr>
      <w:r>
        <w:t>7 Mitverkauf</w:t>
      </w:r>
    </w:p>
    <w:p>
      <w:r>
        <w:t>7.1 Soll ein Dritter durch einen einheitlichen Erwerb mehr als 50 Prozent der Stimmrechte erhalten, dürfen die übrigen Gesellschafter verlangen, ihre Anteile zu demselben Preis je Euro Nennbetrag und wirtschaftlich gleichwertigen Bedingungen mitzuveräußern. Der veräußerungswillige Gesellschafter wird den Verkauf erst vollziehen, wenn der Erwerber die fristgerecht zum Mitverkauf angemeldeten Anteile ebenfalls übernimmt.</w:t>
      </w:r>
    </w:p>
    <w:p>
      <w:r>
        <w:t>7.2 Das Mitverkaufsverlangen ist binnen vier Wochen nach vollständiger Mitteilung zu erklären. Ein Mitverkäufer schuldet grundsätzlich nur Garantien für seine Verfügungsbefugnis und den lastenfreien Bestand seiner Anteile. Weitergehende Garantien bedürfen seiner gesonderten Zustimmung. Seine Haftung ist, außer bei Vorsatz und zwingendem Recht, auf seinen Erlös begrenzt; eine gesamtschuldnerische Haftung der Mitverkäufer wird nicht vereinbart.</w:t>
      </w:r>
    </w:p>
    <w:p>
      <w:r>
        <w:t>7.3 Eine Mitverkaufspflicht wird in dieser Gründungsfassung nicht eingeräumt. Über eine solche Verpflichtung werden die Parteien gegebenenfalls mit einem Investor gesondert verhandeln und dabei Mehrheit, Mindestbedingungen, Gleichbehandlung und Form ausdrücklich regeln.</w:t>
      </w:r>
    </w:p>
    <w:p>
      <w:pPr>
        <w:pStyle w:val="Heading1"/>
      </w:pPr>
      <w:r>
        <w:t>8 Finanzierung und neue Gesellschafter</w:t>
      </w:r>
    </w:p>
    <w:p>
      <w:r>
        <w:t>8.1 Keine Partei ist aufgrund dieser Vereinbarung verpflichtet, über ihre Gründungseinlage hinaus weitere Mittel bereitzustellen, Darlehen zu gewähren oder Sicherheiten zu bestellen. Die Parteien prüfen einen konkreten Finanzierungsbedarf nach vollständiger Unterrichtung in angemessener Zeit.</w:t>
      </w:r>
    </w:p>
    <w:p>
      <w:r>
        <w:t>8.2 Bei geplanten Kapitalerhöhungen werden Umfang, Preis, Agio, Mittelverwendung, Teilnahmebedingungen und Auswirkungen auf Beteiligung und Stimmrechte offengelegt. Ein Ausschluss bestehender Teilnahme- oder Bezugsrechte wird nicht im Voraus pauschal genehmigt. Jeder Einzelfall ist nach seinen rechtlichen und wirtschaftlichen Voraussetzungen zu beurteilen.</w:t>
      </w:r>
    </w:p>
    <w:p>
      <w:r>
        <w:t>8.3 Die derzeit besprochenen Seed-, Serie-A- und Serie-B-Zahlen sind Rechenmodelle. Sie stellen keine Investitionszusage dar und ändern weder das Gründungskapital noch die gegenwärtigen Stimmrechte. Ein virtueller Beteiligungspool gewährt ohne gesonderte Regelung keine Geschäftsanteile und keine Stimmen.</w:t>
      </w:r>
    </w:p>
    <w:p>
      <w:pPr>
        <w:pStyle w:val="Heading1"/>
      </w:pPr>
      <w:r>
        <w:t>9 Beirat</w:t>
      </w:r>
    </w:p>
    <w:p>
      <w:r>
        <w:t>9.1 Nach einer ersten Finanzierung können die Parteien über einen dreiköpfigen Beirat beraten. Die Besetzung soll die Fähigkeiten in Technologie, Finanzierung und Produktbetrieb berücksichtigen. Ein Investorensitz ist noch nicht zugesagt.</w:t>
      </w:r>
    </w:p>
    <w:p>
      <w:r>
        <w:t>9.2 Eine beratende Beiratsordnung darf nicht als Grundlage für eigenständige Bestellung oder Abberufung der Geschäftsführer verwendet werden. Benötigte organschaftliche Befugnisse werden gegebenenfalls in der Satzung und den dazugehörigen Beschlüssen geschaffen.</w:t>
      </w:r>
    </w:p>
    <w:p>
      <w:pPr>
        <w:pStyle w:val="Heading1"/>
      </w:pPr>
      <w:r>
        <w:t>10 Konflikte und Vertraulichkeit</w:t>
      </w:r>
    </w:p>
    <w:p>
      <w:r>
        <w:t>10.1 Bei Meinungsverschiedenheiten benennen die Parteien zunächst schriftlich den Streitgegenstand, die verfügbaren Entscheidungsunterlagen und einen konkreten Lösungsvorschlag. Innerhalb von zehn Werktagen soll ein Gespräch stattfinden. Stimmen alle Betroffenen zu, wird anschließend ein neutraler Moderator hinzugezogen.</w:t>
      </w:r>
    </w:p>
    <w:p>
      <w:r>
        <w:t>10.2 Gesetzliche Fristen und eiliger gerichtlicher Rechtsschutz werden durch das Gesprächsverfahren nicht gehemmt. Weder Schweigen noch Nichtteilnahme gelten als Zustimmung. Eine zwangsweise Anteilsübertragung als automatische Folge des Scheiterns wird nicht vereinbart.</w:t>
      </w:r>
    </w:p>
    <w:p>
      <w:r>
        <w:t>10.3 Vertrauliche Unterlagen des Projekts werden nur für die Zusammenarbeit verwendet und gegen unbefugten Zugriff geschützt. Ausgenommen sind rechtmäßig öffentlich bekannte Informationen, gesetzlich gebotene Mitteilungen und erforderliche Offenlegungen gegenüber zur Verschwiegenheit verpflichteten Beratern.</w:t>
      </w:r>
    </w:p>
    <w:p>
      <w:pPr>
        <w:pStyle w:val="Heading1"/>
      </w:pPr>
      <w:r>
        <w:t>11 Form Beitritt und Sprache</w:t>
      </w:r>
    </w:p>
    <w:p>
      <w:r>
        <w:t>11.1 Die Parteien stimmen den Abschluss dieser Vereinbarung einschließlich aller Anlagen mit dem beurkundenden Notariat ab. Insbesondere die Übertragungs- und Erwerbsverpflichtungen in Nummern 6 und 7 werden nicht durch einfache Unterschrift oder E-Mail wirksam ersetzt. Bis zum formgerechten Abschluss begründet dieser Verhandlungsentwurf keine Verpflichtungen.</w:t>
      </w:r>
    </w:p>
    <w:p>
      <w:r>
        <w:t>11.2 Ein neuer Gesellschafter soll der jeweils geltenden Vereinbarung im erforderlichen Umfang und in der erforderlichen Form beitreten. Die Gesellschaft wird erst durch einen gesonderten, wirksam vertretenen Beitritt verpflichtet, soweit ihre Einbeziehung rechtlich zulässig und vorgesehen ist.</w:t>
      </w:r>
    </w:p>
    <w:p>
      <w:r>
        <w:t>11.3 Deutsches Recht ist anwendbar. Die deutsche Fassung ist bei einer Abweichung der gleichzeitig verhandelten deutschen und englischen Fassung maßgeblich. Ein Widerspruch wird vor Unterzeichnung berichtigt und nicht allein unter Berufung auf diese Sprachregel übergangen.</w:t>
      </w:r>
    </w:p>
    <w:p>
      <w:r>
        <w:t>11.4 Änderungen dieser Vereinbarung bedürfen mindestens der Textform, soweit nicht eine strengere gesetzliche Form gilt. Satzungsänderungen und Registervollzug werden durch eine Änderung dieser Vereinbarung nicht ersetzt.</w:t>
      </w:r>
    </w:p>
    <w:sectPr w:rsidR="00FC693F" w:rsidRPr="0006063C" w:rsidSect="00034616">
      <w:footerReference w:type="default" r:id="rId9"/>
      <w:pgSz w:w="11906" w:h="16838"/>
      <w:pgMar w:top="1077" w:right="1276" w:bottom="1077"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Times New Roman" w:hAnsi="Times New Roman"/>
        <w:sz w:val="18"/>
      </w:rPr>
      <w:t xml:space="preserve">Schnittflug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4" w:lineRule="auto" w:after="8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spacing w:after="120" w:line="240" w:lineRule="auto" w:before="0"/>
      <w:contextualSpacing/>
    </w:pPr>
    <w:rPr>
      <w:rFonts w:ascii="Times New Roman" w:hAnsi="Times New Roman"/>
      <w:color w:val="000000"/>
      <w:spacing w:val="5"/>
      <w:kern w:val="28"/>
      <w:sz w:val="36"/>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20"/>
    </w:pPr>
    <w:rPr>
      <w:rFonts w:ascii="Times New Roman" w:hAnsi="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Gesellschaftervereinbarung Schnittflug</dc:title>
  <dc:subject>Schnittflug Robotics – Gründungsunterlagen</dc:subject>
  <dc:creator>Gründerkreis Schnittflug · Verhandlungsstand</dc:creator>
  <cp:keywords/>
  <dc:description>generated by python-docx</dc:description>
  <cp:lastModifiedBy/>
  <cp:revision>1</cp:revision>
  <dcterms:created xsi:type="dcterms:W3CDTF">2026-09-28T09:00:00Z</dcterms:created>
  <dcterms:modified xsi:type="dcterms:W3CDTF">2026-09-28T09:00:00Z</dcterms:modified>
  <cp:category/>
</cp:coreProperties>
</file>