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Schnittflug Shareholders Agreement</w:t>
      </w:r>
    </w:p>
    <w:p>
      <w:pPr>
        <w:pStyle w:val="Subtitle"/>
      </w:pPr>
      <w:r>
        <w:t>Gründerkreis Schnittflug · Verhandlungsstand</w:t>
      </w:r>
    </w:p>
    <w:p>
      <w:r>
        <w:t>26 September 2026</w:t>
      </w:r>
    </w:p>
    <w:p>
      <w:r>
        <w:t>English negotiating version corresponding to the German draft of 26 September 2026. Not executed. All seven individuals are parties; the future company is not yet bound. The requested notarial appointment has not been confirmed.</w:t>
      </w:r>
    </w:p>
    <w:p>
      <w:pPr>
        <w:pStyle w:val="Heading1"/>
      </w:pPr>
      <w:r>
        <w:t>1 Parties and purpose</w:t>
      </w:r>
    </w:p>
    <w:p>
      <w:r>
        <w:t>1.1 Ottilie Kühnle, Eberhard Demir, Kunigunde Nguyen, Nepomuk Huber, Wilhelmine Okafor, Alois Rossi and Thekla Ben-Ami agree on the following terms for their cooperation as prospective shareholders of Schnittflug Robotics GmbH. Their objective is to develop a robotic hair-care system under the Drohnenfriseur brand.</w:t>
      </w:r>
    </w:p>
    <w:p>
      <w:r>
        <w:t>1.2 The incorporation plan provides for registered share capital of EUR 25,000, with 21 percent allocated to Ottilie, 22 percent to Eberhard, 18 percent to Kunigunde, 15 percent to Nepomuk, 10 percent to Wilhelmine, 8 percent to Alois and 6 percent to Thekla. These percentages relate to incorporation and do not guarantee unchanged percentages in subsequent financings.</w:t>
      </w:r>
    </w:p>
    <w:p>
      <w:pPr>
        <w:pStyle w:val="Heading1"/>
      </w:pPr>
      <w:r>
        <w:t>2 Contributions and work</w:t>
      </w:r>
    </w:p>
    <w:p>
      <w:r>
        <w:t>2.1 Ottilie coordinates commercial matters, Eberhard leads engineering, Kunigunde develops image processing, Nepomuk contributes professional hair-care expertise, Wilhelmine conducts user research, Alois develops mechanical components and Thekla builds partnerships. These allocations do not appoint corporate officers, create service relationships or grant authority to represent the company.</w:t>
      </w:r>
    </w:p>
    <w:p>
      <w:r>
        <w:t>2.2 Until 31 December 2026, this agreement imposes no minimum working hours or remuneration. The parties disclose their available time monthly. Binding further work from January requires a separate agreement on scope and remuneration. No party may breach obligations of employment or confidentiality owed to others.</w:t>
      </w:r>
    </w:p>
    <w:p>
      <w:r>
        <w:t>2.3 Private expenditure is recorded in a common journal. Neither that record nor approval in a team chat constitutes a capital contribution or a reimbursement claim against the company that does not yet exist. Any assumption of liabilities requires a separate agreement following review of the purchaser, performance and supporting document.</w:t>
      </w:r>
    </w:p>
    <w:p>
      <w:pPr>
        <w:pStyle w:val="Heading1"/>
      </w:pPr>
      <w:r>
        <w:t>3 Budget and information</w:t>
      </w:r>
    </w:p>
    <w:p>
      <w:r>
        <w:t>3.1 The parties seek monthly liquidity reporting and a development plan updated quarterly. As between the parties, amendments increasing planned total annual cash expenditure by more than EUR 50,000 require Ottilie's consent. The parties undertake not to vote in favour of such an amendment without her consent.</w:t>
      </w:r>
    </w:p>
    <w:p>
      <w:r>
        <w:t>3.2 This contractual consent right concerns only the budget amendments described in clause 3.1. It does not grant comprehensive blocking rights or amend the articles of association. It does not generally subject management or other shareholder resolutions to Ottilie's instructions.</w:t>
      </w:r>
    </w:p>
    <w:p>
      <w:r>
        <w:t>3.3 Confidential business reports may be disclosed for a party's own legal, tax or financial advice if the recipients owe appropriate confidentiality obligations. Statutory information rights and mandatory disclosures remain unaffected.</w:t>
      </w:r>
    </w:p>
    <w:p>
      <w:pPr>
        <w:pStyle w:val="Heading1"/>
      </w:pPr>
      <w:r>
        <w:t>4 Intellectual property and data</w:t>
      </w:r>
    </w:p>
    <w:p>
      <w:r>
        <w:t>4.1 Each founder discloses pre-existing programs, inventions, designs, text and datasets intended for the project, identifying authors, creation dates, employment connections, licences and encumbrances. The schedule is updated when new information becomes available.</w:t>
      </w:r>
    </w:p>
    <w:p>
      <w:r>
        <w:t>4.2 Exclusive rights of use are granted to the company only under separate agreements identifying those rights sufficiently. Exclusive or unencumbered rights must not be promised while third-party rights or employer releases remain unresolved. The affected components must not be used in production until these issues are resolved.</w:t>
      </w:r>
    </w:p>
    <w:p>
      <w:r>
        <w:t>4.3 Personal head images may be processed only after a separate determination of purpose, legal basis, retention and access. Participation in a product discussion does not constitute blanket consent to AI training.</w:t>
      </w:r>
    </w:p>
    <w:p>
      <w:pPr>
        <w:pStyle w:val="Heading1"/>
      </w:pPr>
      <w:r>
        <w:t>5 Founder retention and vesting</w:t>
      </w:r>
    </w:p>
    <w:p>
      <w:r>
        <w:t>5.1 The parties are negotiating a 48-month vesting period and an initial cliff after twelve months. Those proposed terms alone create neither a transfer obligation nor a repurchase right. Work before notarisation, illness, parental leave, part-time work and involuntary departure must be addressed in a separate agreement coordinated with the notary.</w:t>
      </w:r>
    </w:p>
    <w:p>
      <w:r>
        <w:t>5.2 Until such an agreement becomes effective, no share is subject to a repurchase right triggered solely by cessation of work. Removal as managing director does not automatically remove a founder's shareholding. Statutory claims and other validly established rights remain unaffected.</w:t>
      </w:r>
    </w:p>
    <w:p>
      <w:pPr>
        <w:pStyle w:val="Heading1"/>
      </w:pPr>
      <w:r>
        <w:t>6 Proposed sale and pre-emption</w:t>
      </w:r>
    </w:p>
    <w:p>
      <w:r>
        <w:t>6.1 A shareholder intending to sell a share to a third party after incorporation must notify the other parties in text form of the share, intended buyer, price and all material ancillary terms. The other parties have a right to acquire the offered interest on economically identical terms in proportion to their holdings.</w:t>
      </w:r>
    </w:p>
    <w:p>
      <w:r>
        <w:t>6.2 That right must be exercised within four weeks after receipt of a complete notice. Where several parties exercise it, any remainder that cannot be divided into whole euros of nominal share capital is allocated by agreement. Without agreement, allocation must be coordinated with the notary before any transfer. A statement of intention does not replace a share purchase satisfying the required form.</w:t>
      </w:r>
    </w:p>
    <w:p>
      <w:r>
        <w:t>6.3 If the period expires without exercise, the offered interest may be sold to the named buyer within three months on terms no more favourable to the buyer. Otherwise it must be offered again. Consent required by the articles remains necessary.</w:t>
      </w:r>
    </w:p>
    <w:p>
      <w:pPr>
        <w:pStyle w:val="Heading1"/>
      </w:pPr>
      <w:r>
        <w:t>7 Tag along</w:t>
      </w:r>
    </w:p>
    <w:p>
      <w:r>
        <w:t>7.1 If a third party would acquire more than 50 percent of the voting rights in one transaction, the remaining shareholders may require that their shares be sold at the same price per euro of nominal value and on economically equivalent terms. The selling shareholder must not complete the sale unless the buyer also purchases the shares validly included in the tag-along request.</w:t>
      </w:r>
    </w:p>
    <w:p>
      <w:r>
        <w:t>7.2 The request must be made within four weeks of complete notice. A participating seller generally gives warranties only as to authority to dispose of, and unencumbered ownership of, their shares. Additional warranties require that seller's separate consent. Except for intentional misconduct and mandatory law, liability is capped at that seller's proceeds. The participating sellers do not assume joint and several liability.</w:t>
      </w:r>
    </w:p>
    <w:p>
      <w:r>
        <w:t>7.3 This incorporation version does not grant a drag-along right. Any such obligation will be negotiated separately with an investor, expressly addressing the required majority, minimum terms, equal treatment and required form.</w:t>
      </w:r>
    </w:p>
    <w:p>
      <w:pPr>
        <w:pStyle w:val="Heading1"/>
      </w:pPr>
      <w:r>
        <w:t>8 Financing and new shareholders</w:t>
      </w:r>
    </w:p>
    <w:p>
      <w:r>
        <w:t>8.1 No party must provide funds beyond their incorporation contribution, lend money or provide security under this agreement. The parties will review a specific financing need within a reasonable time after receiving full information.</w:t>
      </w:r>
    </w:p>
    <w:p>
      <w:r>
        <w:t>8.2 A proposed capital increase must disclose its size, price, premium, use of proceeds, participation terms and effects on ownership and voting rights. Exclusion of existing participation or subscription rights is not approved in advance on a blanket basis. Each proposal must be assessed on its own legal and commercial merits.</w:t>
      </w:r>
    </w:p>
    <w:p>
      <w:r>
        <w:t>8.3 The seed, Series A and Series B figures currently being discussed are models. They are not investment commitments and do not change initial share capital or current voting rights. A virtual participation pool grants no shares or votes without a separate arrangement.</w:t>
      </w:r>
    </w:p>
    <w:p>
      <w:pPr>
        <w:pStyle w:val="Heading1"/>
      </w:pPr>
      <w:r>
        <w:t>9 Advisory board</w:t>
      </w:r>
    </w:p>
    <w:p>
      <w:r>
        <w:t>9.1 After an initial financing, the parties may discuss an advisory board of three members, taking account of technology, finance and product-operation expertise. No investor seat has yet been promised.</w:t>
      </w:r>
    </w:p>
    <w:p>
      <w:r>
        <w:t>9.2 An advisory board charter granting advisory functions must not be used as authority to appoint or remove managing directors. Any necessary corporate powers must first be established in the articles and the corresponding resolutions.</w:t>
      </w:r>
    </w:p>
    <w:p>
      <w:pPr>
        <w:pStyle w:val="Heading1"/>
      </w:pPr>
      <w:r>
        <w:t>10 Disputes and confidentiality</w:t>
      </w:r>
    </w:p>
    <w:p>
      <w:r>
        <w:t>10.1 A party raising a dispute must first identify in writing the issue, available decision materials and a specific proposed solution. A discussion should take place within ten business days. A neutral facilitator may then be engaged if all affected parties agree.</w:t>
      </w:r>
    </w:p>
    <w:p>
      <w:r>
        <w:t>10.2 The discussion procedure does not suspend statutory time limits or urgent judicial relief. Silence and non-attendance do not count as consent. Failure to resolve the dispute does not automatically trigger a compulsory transfer of shares.</w:t>
      </w:r>
    </w:p>
    <w:p>
      <w:r>
        <w:t>10.3 Confidential project materials may be used only for the cooperation and must be protected against unauthorised access. Information lawfully in the public domain, legally required disclosures and necessary disclosures to advisers bound by confidentiality are excluded.</w:t>
      </w:r>
    </w:p>
    <w:p>
      <w:pPr>
        <w:pStyle w:val="Heading1"/>
      </w:pPr>
      <w:r>
        <w:t>11 Form accession and language</w:t>
      </w:r>
    </w:p>
    <w:p>
      <w:r>
        <w:t>11.1 The parties will coordinate execution of this agreement and all schedules with the officiating notary. In particular, the transfer and acquisition obligations in clauses 6 and 7 cannot be validly replaced by a simple signature or email. This negotiating draft creates no obligations until executed in the required form.</w:t>
      </w:r>
    </w:p>
    <w:p>
      <w:r>
        <w:t>11.2 A new shareholder is to accede to the current agreement to the extent and in the form required. The company is bound only through a separate accession executed by duly authorised representatives, insofar as its participation is legally permissible and intended.</w:t>
      </w:r>
    </w:p>
    <w:p>
      <w:r>
        <w:t>11.3 German law applies. If the German and English versions negotiated together differ, the German version prevails. Any discrepancy must be corrected before execution rather than simply relying on this language clause.</w:t>
      </w:r>
    </w:p>
    <w:p>
      <w:r>
        <w:t>11.4 Amendments require at least text form unless stricter statutory requirements apply. Amending this agreement does not replace amendment of the articles or the required commercial-register process.</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Schnittflug Shareholders Agreement</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