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Geschäftsordnung der Geschäftsführung</w:t>
      </w:r>
    </w:p>
    <w:p>
      <w:pPr>
        <w:pStyle w:val="Subtitle"/>
      </w:pPr>
      <w:r>
        <w:t>Gründerkreis Schnittflug · Verhandlungsstand</w:t>
      </w:r>
    </w:p>
    <w:p>
      <w:r>
        <w:t>27. September 2026</w:t>
      </w:r>
    </w:p>
    <w:p>
      <w:r>
        <w:t>Vorschlag Ottilies für einen Beschluss nach wirksamer Gründung. Eberhards Wunsch nach Einzelvertretung ist nicht in diese Fassung übernommen. Die Satzung und die Organbestellungen gehen bei Widersprüchen vor.</w:t>
      </w:r>
    </w:p>
    <w:p>
      <w:pPr>
        <w:pStyle w:val="Heading1"/>
      </w:pPr>
      <w:r>
        <w:t>1 Gemeinsame Verantwortung</w:t>
      </w:r>
    </w:p>
    <w:p>
      <w:r>
        <w:t>1.1 Die Geschäftsführer führen die Geschäfte gemeinsam im Interesse der Gesellschaft. Die Zuweisung von Ressorts entbindet keinen Geschäftsführer von gesetzlichen Gesamtverantwortungs-, Informations- und Überwachungspflichten.</w:t>
      </w:r>
    </w:p>
    <w:p>
      <w:r>
        <w:t>1.2 Ottilie betreut Finanzen, Verträge, Personal und die Vorbereitung der Anmeldungen. Eberhard betreut Entwicklung, Einkauf und technische Dienstleister. Beide stimmen Produktversuche und die hierfür benötigten rechtlichen und versicherungstechnischen Voraussetzungen gemeinsam ab.</w:t>
      </w:r>
    </w:p>
    <w:p>
      <w:pPr>
        <w:pStyle w:val="Heading1"/>
      </w:pPr>
      <w:r>
        <w:t>2 Planung und Berichte</w:t>
      </w:r>
    </w:p>
    <w:p>
      <w:r>
        <w:t>2.1 Spätestens am fünften Werktag eines Monats legen beide Geschäftsführer eine gemeinsame Übersicht über verfügbare Mittel, fällige Verbindlichkeiten, offene Bestellungen und die rollierende Liquiditätsplanung vor. Planwerte und tatsächliche Kontobewegungen werden getrennt ausgewiesen.</w:t>
      </w:r>
    </w:p>
    <w:p>
      <w:r>
        <w:t>2.2 Erkennt ein Geschäftsführer eine drohende Liquiditätslücke, unzulässige Produktnutzung oder einen erheblichen Rechtekonflikt, unterrichtet er den anderen unverzüglich und veranlasst die erforderlichen gesetzlichen Maßnahmen. Gesetzliche Insolvenzantrags- und Zahlungsverbote werden durch interne Abstimmung nicht aufgeschoben.</w:t>
      </w:r>
    </w:p>
    <w:p>
      <w:pPr>
        <w:pStyle w:val="Heading1"/>
      </w:pPr>
      <w:r>
        <w:t>3 Zustimmungsbedürftige Geschäfte</w:t>
      </w:r>
    </w:p>
    <w:p>
      <w:r>
        <w:t>3.1 Außerhalb eines genehmigten Budgets bedürfen Ausgaben von mehr als 5.000,00 EUR je wirtschaftlich zusammenhängendem Vorgang der vorherigen Zustimmung beider Geschäftsführer. Ab 15.000,00 EUR ist zusätzlich ein Gesellschafterbeschluss erforderlich. Zusammengehörende Bestellungen dürfen nicht zur Unterschreitung der Grenze aufgeteilt werden.</w:t>
      </w:r>
    </w:p>
    <w:p>
      <w:r>
        <w:t>3.2 Verträge mit einer festen Laufzeit von mehr als zwölf Monaten, neue Darlehen, Sicherheiten für fremde Verbindlichkeiten und Verträge mit Gesellschaftern oder nahestehenden Personen bedürfen unabhängig vom Betrag eines Gesellschafterbeschlusses. Die betroffene Person legt den Interessenkonflikt offen; gesetzliche Stimmverbote sind einzuhalten.</w:t>
      </w:r>
    </w:p>
    <w:p>
      <w:r>
        <w:t>3.3 Die Annahme dieser Ordnung gewährt keine Einzelvertretungsmacht. Unterschriften gegenüber Dritten richten sich nach wirksamer Organbestellung, Satzung und eingetragener Vertretungsregel. Interne Zustimmung und Außenvertretung sind getrennt zu dokumentieren.</w:t>
      </w:r>
    </w:p>
    <w:p>
      <w:pPr>
        <w:pStyle w:val="Heading1"/>
        <w:pageBreakBefore/>
      </w:pPr>
      <w:r>
        <w:t>4 Konten und Zahlungen</w:t>
      </w:r>
    </w:p>
    <w:p>
      <w:r>
        <w:t>4.1 Zahlungen werden nur auf Grundlage eines zugeordneten Belegs und einer dokumentierten Fälligkeit vorbereitet. Private Auslagen, Einlageleistungen, Gesellschafterdarlehen und Betriebsausgaben erhalten getrennte Buchungssachverhalte.</w:t>
      </w:r>
    </w:p>
    <w:p>
      <w:r>
        <w:t>4.2 Die Bankberechtigungen sollen für neue Empfänger und Zahlungen über 2.500,00 EUR eine zweite Freigabe erfordern. Die konkrete technische Einrichtung wird der Gesellschafterversammlung nach Kontoeröffnung vorgelegt. Diese Ordnung bestätigt keine bereits eingerichtete Bankvollmacht.</w:t>
      </w:r>
    </w:p>
    <w:p>
      <w:pPr>
        <w:pStyle w:val="Heading1"/>
      </w:pPr>
      <w:r>
        <w:t>5 Produkt und Personal</w:t>
      </w:r>
    </w:p>
    <w:p>
      <w:r>
        <w:t>5.1 Tests an Personen oder Flüge im öffentlichen Luftraum dürfen nur auf Grundlage einer dokumentierten rechtlichen, technischen und versicherungstechnischen Prüfung durchgeführt werden. Das Team kommuniziert gegenüber Kunden keine Zulassungen oder Fähigkeiten, die nicht nachgewiesen sind.</w:t>
      </w:r>
    </w:p>
    <w:p>
      <w:r>
        <w:t>5.2 Beschäftigungsverhältnisse, freie Mitarbeit und Geschäftsführerdienstverhältnisse werden vor ihrem vorgesehenen Beginn getrennt eingeordnet. Die Entgeltabrechnung erhält sämtliche erforderlichen Unterlagen; ein intern gewünschter Status ersetzt keine tatsächliche Prüfung.</w:t>
      </w:r>
    </w:p>
    <w:p>
      <w:pPr>
        <w:pStyle w:val="Heading1"/>
      </w:pPr>
      <w:r>
        <w:t>6 Beschlüsse und Fortführung</w:t>
      </w:r>
    </w:p>
    <w:p>
      <w:r>
        <w:t>6.1 Die Geschäftsführer beraten mindestens wöchentlich. Wesentliche Entscheidungen werden mit Datum, Beteiligten, Grundlage und Ergebnis dokumentiert. Bei Uneinigkeit über ein zustimmungsbedürftiges Geschäft wird die Gesellschafterversammlung befasst; gesetzlich gebotene eilbedürftige Maßnahmen bleiben zulässig und sind unverzüglich zu erläutern.</w:t>
      </w:r>
    </w:p>
    <w:p>
      <w:r>
        <w:t>6.2 Diese Geschäftsordnung gilt ab ihrer wirksamen Beschlussfassung. Änderungen werden allen Geschäftsführern in Textform mitgeteilt. Satzungsmäßige Rechte oder gesetzliche Pflichten können durch sie nicht abgeändert werden.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Geschäftsordnung der Geschäftsführung</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