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Geschäftsführerdienstvertrag Ottilie Kühnle</w:t>
      </w:r>
    </w:p>
    <w:p>
      <w:pPr>
        <w:pStyle w:val="Subtitle"/>
      </w:pPr>
      <w:r>
        <w:t>Gründerkreis Schnittflug · Verhandlungsstand</w:t>
      </w:r>
    </w:p>
    <w:p>
      <w:r>
        <w:t>28. September 2026</w:t>
      </w:r>
    </w:p>
    <w:p>
      <w:r>
        <w:t>Verhandlungsentwurf. Vorgesehene Vertragspartner sind die nach Beurkundung bestehende Schnittflug Robotics GmbH in Gründung und Ottilie Kühnle. Ein Vertreter der Gesellschaft für diesen Vertrag muss gesondert bestellt werden. Ottilies früherer Vergütungswunsch von 4.200 EUR ist durch die folgende Fassung noch nicht einvernehmlich ersetzt.</w:t>
      </w:r>
    </w:p>
    <w:p>
      <w:pPr>
        <w:pStyle w:val="Heading1"/>
      </w:pPr>
      <w:r>
        <w:t>1 Aufgabe und Beginn</w:t>
      </w:r>
    </w:p>
    <w:p>
      <w:r>
        <w:t>1.1 Ottilie Kühnle soll ab dem 1. Januar 2027 die kaufmännische Geschäftsführung übernehmen. Voraussetzung ist ihre wirksame Organbestellung und ein wirksam abgeschlossener Dienstvertrag. Aus diesem Entwurf entsteht keine bereits bestehende Dienstpflicht.</w:t>
      </w:r>
    </w:p>
    <w:p>
      <w:r>
        <w:t>1.2 Zu ihren Aufgaben gehören Finanzplanung, kaufmännische Organisation, Koordination der Rechts- und Steuerberatung sowie Personal- und Vertragsverwaltung. Sie beachtet Gesetz, Satzung, wirksame Gesellschafterbeschlüsse und die Geschäftsordnung. Die Verantwortung für nicht zugewiesene Ressorts entfällt nicht vollständig.</w:t>
      </w:r>
    </w:p>
    <w:p>
      <w:pPr>
        <w:pStyle w:val="Heading1"/>
      </w:pPr>
      <w:r>
        <w:t>2 Tätigkeit und Nebentätigkeiten</w:t>
      </w:r>
    </w:p>
    <w:p>
      <w:r>
        <w:t>2.1 Die Geschäftsführerin stellt ihre Arbeitskraft grundsätzlich im Umfang einer Vollzeittätigkeit zur Verfügung. Sie organisiert die zeitliche Durchführung nach den betrieblichen Erfordernissen und den verbindlichen Aufgaben. Arbeitsort ist Berlin; erforderliche Geschäftsreisen sind eingeschlossen.</w:t>
      </w:r>
    </w:p>
    <w:p>
      <w:r>
        <w:t>2.2 Entgeltliche Nebentätigkeiten sowie die Übernahme weiterer Organfunktionen bedürfen der vorherigen Zustimmung der Gesellschafterversammlung. Die Zustimmung darf nicht ohne sachlichen Grund verweigert werden. Bereits bestehende Verpflichtungen sind vor Vertragsschluss offenzulegen.</w:t>
      </w:r>
    </w:p>
    <w:p>
      <w:pPr>
        <w:pStyle w:val="Heading1"/>
      </w:pPr>
      <w:r>
        <w:t>3 Vergütung und Auslagen</w:t>
      </w:r>
    </w:p>
    <w:p>
      <w:r>
        <w:t>3.1 Als Verhandlungsvorschlag ist eine feste monatliche Bruttovergütung von 3.500,00 EUR vorgesehen, zahlbar am letzten Bankarbeitstag des Monats. Eine variable Vergütung oder Beteiligung am Gewinn wird durch diesen Vertrag nicht eingeräumt. Die gesellschaftsrechtliche Beteiligung bleibt davon unabhängig.</w:t>
      </w:r>
    </w:p>
    <w:p>
      <w:r>
        <w:t>3.2 Notwendige dienstliche Auslagen werden gegen prüffähigen Beleg nach der gültigen Reiserichtlinie erstattet. Vor Gründung privat veranlasste Entwicklungsausgaben werden hiervon nicht automatisch erfasst. Sie bedürfen einer gesonderten Übernahmevereinbarung.</w:t>
      </w:r>
    </w:p>
    <w:p>
      <w:pPr>
        <w:pStyle w:val="Heading1"/>
      </w:pPr>
      <w:r>
        <w:t>4 Erwerbsstatus und Abrechnung</w:t>
      </w:r>
    </w:p>
    <w:p>
      <w:r>
        <w:t>4.1 Die Parteien legen Satzung, Beteiligung, Stimmrechte, Gesellschaftervereinbarung, Geschäftsordnung und tatsächliche Tätigkeit für die erforderliche Statusprüfung vollständig offen. Sie wirken an einem einschlägigen Verfahren nach § 7a SGB IV und den erforderlichen Meldungen mit.</w:t>
      </w:r>
    </w:p>
    <w:p>
      <w:r>
        <w:t>4.2 Dieser Vertrag garantiert keine selbständige Tätigkeit und keine Befreiung von Sozialversicherungsbeiträgen. Zwingende Beitragspflichten werden nach der zutreffenden Einordnung erfüllt. Nachträgliche Satzungs-, Beteiligungs- oder Tätigkeitsänderungen werden der mit der Abrechnung beauftragten Stelle unverzüglich mitgeteilt.</w:t>
      </w:r>
    </w:p>
    <w:p>
      <w:pPr>
        <w:pStyle w:val="Heading1"/>
        <w:pageBreakBefore/>
      </w:pPr>
      <w:r>
        <w:t>5 Erholung und Verhinderung</w:t>
      </w:r>
    </w:p>
    <w:p>
      <w:r>
        <w:t>5.1 Die Geschäftsführerin erhält jährlich 30 Arbeitstage bezahlte Erholung bei einer Fünftagewoche. Den Zeitpunkt stimmt sie so ab, dass die Geschäftsführung gewährleistet bleibt. Bei unterjährigem Beginn wird der Anspruch zeitanteilig berechnet, soweit zwingendes Recht nichts anderes verlangt.</w:t>
      </w:r>
    </w:p>
    <w:p>
      <w:r>
        <w:t>5.2 Eine Verhinderung und ihre voraussichtliche Dauer teilt sie dem weiteren Geschäftsführer unverzüglich mit. Bei unverschuldeter krankheitsbedingter Verhinderung wird die feste Vergütung für bis zu sechs Wochen fortgezahlt. Weitergehende zwingende Ansprüche bleiben unberührt.</w:t>
      </w:r>
    </w:p>
    <w:p>
      <w:pPr>
        <w:pStyle w:val="Heading1"/>
      </w:pPr>
      <w:r>
        <w:t>6 Vertraulichkeit und Arbeitsergebnisse</w:t>
      </w:r>
    </w:p>
    <w:p>
      <w:r>
        <w:t>6.1 Die Geschäftsführerin wahrt vertrauliche Unternehmensinformationen auch nach Vertragsende. Rechtlich gebotene Offenlegungen und zulässige Hinweise an zuständige Stellen werden nicht ausgeschlossen. Betriebliche Unterlagen werden getrennt von privaten Daten verwahrt und bei Vertragsende geordnet herausgegeben.</w:t>
      </w:r>
    </w:p>
    <w:p>
      <w:r>
        <w:t>6.2 Rechte an im Rahmen der Tätigkeit geschaffenen Arbeitsergebnissen werden der Gesellschaft in dem für deren Geschäft erforderlichen rechtlich zulässigen Umfang eingeräumt. Vorbestehende Werke, Erfindungen und Rechte Dritter werden davon nicht pauschal erfasst; hierfür sind gesonderte Vereinbarungen und die jeweiligen zwingenden Vorschriften maßgeblich.</w:t>
      </w:r>
    </w:p>
    <w:p>
      <w:pPr>
        <w:pStyle w:val="Heading1"/>
      </w:pPr>
      <w:r>
        <w:t>7 Dauer und Beendigung</w:t>
      </w:r>
    </w:p>
    <w:p>
      <w:r>
        <w:t>7.1 Der Vertrag soll auf unbestimmte Zeit geschlossen werden. Er kann mit einer Frist von drei Monaten zum Ende eines Kalendervierteljahrs gekündigt werden. Das Recht zur außerordentlichen Kündigung aus wichtigem Grund bleibt bestehen.</w:t>
      </w:r>
    </w:p>
    <w:p>
      <w:r>
        <w:t>7.2 Die Abberufung aus dem Geschäftsführeramt beendet den Dienstvertrag nicht automatisch. Der zuständige Vertreter der Gesellschaft hat eine etwaige Kündigung gesondert zu erklären. Mit der Beendigung des Dienstvertrags tritt kein automatischer Verlust von Geschäftsanteilen ein.</w:t>
      </w:r>
    </w:p>
    <w:p>
      <w:r>
        <w:t>7.3 Eine einvernehmliche Freistellung oder Übergabe wird unter Berücksichtigung gesetzlicher Organpflichten und der fortbestehenden Vergütungsansprüche gesondert geregelt. Ein nachvertragliches Wettbewerbsverbot wird nicht vereinbart.</w:t>
      </w:r>
    </w:p>
    <w:p>
      <w:pPr>
        <w:pStyle w:val="Heading1"/>
      </w:pPr>
      <w:r>
        <w:t>8 Abschluss</w:t>
      </w:r>
    </w:p>
    <w:p>
      <w:r>
        <w:t>8.1 Änderungen dieses Vertrags werden in Textform dokumentiert, soweit keine strengere Form vorgeschrieben ist. Zwingende gesetzliche Rechte bleiben unberührt.</w:t>
      </w:r>
    </w:p>
    <w:p>
      <w:r>
        <w:t>8.2 Vor Unterzeichnung werden die wirksame Vertretung der Gesellschaft, der genaue Tätigkeitsbeginn, Ottilies Zustimmung zur Vergütung und die für die Statusprüfung erforderlichen Dokumentstände nachgewiesen.</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Geschäftsführerdienstvertrag Ottilie Kühnle</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