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Beschluss über die erste Geschäftsführung</w:t>
      </w:r>
    </w:p>
    <w:p>
      <w:pPr>
        <w:pStyle w:val="Subtitle"/>
      </w:pPr>
      <w:r>
        <w:t>Gründerkreis Schnittflug · Verhandlungsstand</w:t>
      </w:r>
    </w:p>
    <w:p>
      <w:r>
        <w:t>28. September 2026</w:t>
      </w:r>
    </w:p>
    <w:p>
      <w:r>
        <w:t>Beschlussvorlage für den Gründungstermin. Kein gefasster Beschluss und keine Registeranmeldung. Die Identitäts- und Eignungsangaben sind noch anhand der für das Notariat vorgesehenen Unterlagen zu prüfen.</w:t>
      </w:r>
    </w:p>
    <w:p>
      <w:pPr>
        <w:pStyle w:val="Heading1"/>
      </w:pPr>
      <w:r>
        <w:t>1 Bestellung</w:t>
      </w:r>
    </w:p>
    <w:p>
      <w:r>
        <w:t>1.1 Zu Geschäftsführern der Schnittflug Robotics GmbH werden Ottilie Kühnle und Eberhard Demir bestellt. Die Bestellung soll mit der wirksamen notariellen Errichtung der Gesellschaft beginnen.</w:t>
      </w:r>
    </w:p>
    <w:p>
      <w:r>
        <w:t>1.2 Beide Geschäftsführer vertreten die Gesellschaft gemäß der allgemeinen Vertretungsregel der Satzung gemeinsam. Einzelvertretungsbefugnis und Befreiung von § 181 BGB werden in dieser Beschlussvorlage nicht erteilt.</w:t>
      </w:r>
    </w:p>
    <w:p>
      <w:pPr>
        <w:pStyle w:val="Heading1"/>
      </w:pPr>
      <w:r>
        <w:t>2 Dienstverträge</w:t>
      </w:r>
    </w:p>
    <w:p>
      <w:r>
        <w:t>2.1 Der Abschluss eines Geschäftsführerdienstvertrags wird durch die Bestellung nicht ersetzt. Als Grundlage der weiteren Verhandlung sind ab Januar 2027 jeweils 3.500,00 EUR monatliche Bruttovergütung vorgesehen. Der Vertrag mit Ottilie und ein entsprechender Vertrag mit Eberhard bedürfen jeweils einer gesonderten Entscheidung und ordnungsgemäßen Vertretung.</w:t>
      </w:r>
    </w:p>
    <w:p>
      <w:r>
        <w:t>2.2 Kunigunde Nguyen soll bevollmächtigt werden, die von der Gesellschafterversammlung abschließend genehmigten Dienstverträge namens der Gesellschaft zu unterzeichnen. Änderungen der Vergütung oder wesentlicher Vertragsbedingungen sind von dieser Vollmacht nicht umfasst. Gesetzliche Stimmverbote werden bei der Beschlussfassung berücksichtigt.</w:t>
      </w:r>
    </w:p>
    <w:p>
      <w:pPr>
        <w:pStyle w:val="Heading1"/>
      </w:pPr>
      <w:r>
        <w:t>3 Vollzug</w:t>
      </w:r>
    </w:p>
    <w:p>
      <w:r>
        <w:t>3.1 Die Geschäftsführer werden angewiesen, nach Beurkundung ein Konto für die Gesellschaft eröffnen zu lassen und die Gründer zur Einzahlung ihrer übernommenen Geldeinlagen aufzufordern. Zahlungsnachweise sind personenbezogen und anteilsbezogen zu führen.</w:t>
      </w:r>
    </w:p>
    <w:p>
      <w:r>
        <w:t>3.2 Die Anmeldung wird durch das Notariat vorbereitet. Versicherungen über Einzahlung, freie Verfügung und Bestellungsvoraussetzungen werden nur auf Grundlage des tatsächlichen Stands abgegeben. Die bloße Absicht, Kapital später einzuzahlen, genügt nicht.</w:t>
      </w:r>
    </w:p>
    <w:p>
      <w:r>
        <w:t>3.3 Nach Eintragung werden Geschäftsbriefe, Bankunterlagen und die zuständigen Anmeldestellen anhand des wirklichen Registerauszugs aktualisiert. Eine Registernummer wird bis dahin nicht eingesetzt.</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über die erste Geschäftsführung</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