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Beiratsordnung Schnittflug</w:t>
      </w:r>
    </w:p>
    <w:p>
      <w:pPr>
        <w:pStyle w:val="Subtitle"/>
      </w:pPr>
      <w:r>
        <w:t>Gründerkreis Schnittflug · Verhandlungsstand</w:t>
      </w:r>
    </w:p>
    <w:p>
      <w:r>
        <w:t>27. September 2026</w:t>
      </w:r>
    </w:p>
    <w:p>
      <w:r>
        <w:t>Vorschlag für einen späteren beratenden Beirat. Zum Aktenstichtag ist kein Beirat eingerichtet, kein Mitglied bestellt und kein Investorensitz verbindlich zugesagt.</w:t>
      </w:r>
    </w:p>
    <w:p>
      <w:pPr>
        <w:pStyle w:val="Heading1"/>
      </w:pPr>
      <w:r>
        <w:t>1 Aufgabe</w:t>
      </w:r>
    </w:p>
    <w:p>
      <w:r>
        <w:t>1.1 Der Beirat berät Geschäftsführung und Gesellschafter bei Technologie, Finanzierung und verantwortlicher Produktentwicklung. Er kann Empfehlungen abgeben und auf erkennbare Risiken hinweisen. Er übernimmt keine operative Geschäftsführung und vertritt die Gesellschaft nicht nach außen.</w:t>
      </w:r>
    </w:p>
    <w:p>
      <w:r>
        <w:t>1.2 Die Gesellschafterversammlung bleibt für die ihr nach Gesetz und Satzung zugewiesenen Entscheidungen zuständig. Der Beirat bestellt oder entlässt keine Geschäftsführer und genehmigt aufgrund dieser Ordnung keine Kapitalmaßnahmen.</w:t>
      </w:r>
    </w:p>
    <w:p>
      <w:pPr>
        <w:pStyle w:val="Heading1"/>
      </w:pPr>
      <w:r>
        <w:t>2 Zusammensetzung und Bestellung</w:t>
      </w:r>
    </w:p>
    <w:p>
      <w:r>
        <w:t>2.1 Der Beirat besteht aus drei natürlichen Personen, die von der Gesellschafterversammlung für zwei Jahre bestellt werden. Eine Wiederbestellung ist zulässig. Die Verhandlung über einen Investorensitz ersetzt keine wirksame Bestellung und schafft kein eigenständiges Entsendungsrecht.</w:t>
      </w:r>
    </w:p>
    <w:p>
      <w:r>
        <w:t>2.2 Jedes Mitglied legt vor Bestellung seine wirtschaftlichen Beziehungen zur Gesellschaft, zu den Gründern und zu möglichen Wettbewerbern offen. Wesentliche Änderungen sind während der Amtszeit unverzüglich anzuzeigen. Ein Interessenkonflikt wird bei Beratung und Empfehlung dokumentiert.</w:t>
      </w:r>
    </w:p>
    <w:p>
      <w:pPr>
        <w:pStyle w:val="Heading1"/>
      </w:pPr>
      <w:r>
        <w:t>3 Sitzungen und Unterlagen</w:t>
      </w:r>
    </w:p>
    <w:p>
      <w:r>
        <w:t>3.1 Der Beirat tagt mindestens vierteljährlich. Die Geschäftsführung lädt unter Übersendung der Tagesordnung und der verfügbaren entscheidungsrelevanten Unterlagen zehn Tage vorher ein. Zusätzliche Sitzungen sind bei wesentlichen Finanzierungsschritten oder erheblichen Produkt- und Liquiditätsrisiken vorzusehen.</w:t>
      </w:r>
    </w:p>
    <w:p>
      <w:r>
        <w:t>3.2 Zwei Mitglieder bilden die Beratungsfähigkeit. Empfehlungen werden mit der Mehrheit der teilnehmenden Mitglieder beschlossen und enthalten die wesentlichen Gründe. Abweichende Auffassungen sind auf Wunsch aufzunehmen. Ein Schweigen gilt nicht als Billigung.</w:t>
      </w:r>
    </w:p>
    <w:p>
      <w:pPr>
        <w:pStyle w:val="Heading1"/>
        <w:pageBreakBefore/>
      </w:pPr>
      <w:r>
        <w:t>4 Information und Vertraulichkeit</w:t>
      </w:r>
    </w:p>
    <w:p>
      <w:r>
        <w:t>4.1 Die Geschäftsführung stellt angemessene Informationen für die vereinbarten Beratungsaufgaben bereit. Personenbezogene Daten und besonders vertrauliche technische Unterlagen werden nur im erforderlichen Umfang und über geeignete sichere Wege zugänglich gemacht.</w:t>
      </w:r>
    </w:p>
    <w:p>
      <w:r>
        <w:t>4.2 Die Mitglieder wahren Vertraulichkeit auch nach ihrem Ausscheiden. Eine Weitergabe an einen entsendenden oder vorschlagenden Investor ist nicht pauschal gestattet. Umfang und Voraussetzungen einer solchen Information bedürfen einer gesonderten rechtlich zulässigen Regelung.</w:t>
      </w:r>
    </w:p>
    <w:p>
      <w:pPr>
        <w:pStyle w:val="Heading1"/>
      </w:pPr>
      <w:r>
        <w:t>5 Vergütung und Ende</w:t>
      </w:r>
    </w:p>
    <w:p>
      <w:r>
        <w:t>5.1 Eine Vergütung wird nur aufgrund gesonderten Gesellschafterbeschlusses gewährt. Notwendige, vorab abgestimmte Reisekosten werden gegen Beleg erstattet. Die Mitgliedschaft vermittelt keinen Anspruch auf Geschäftsanteile oder virtuelle Beteiligung.</w:t>
      </w:r>
    </w:p>
    <w:p>
      <w:r>
        <w:t>5.2 Ein Mitglied kann sein Amt mit einer Frist von vier Wochen niederlegen; ein wichtiger Grund erlaubt eine sofortige Niederlegung. Die Gesellschafterversammlung kann Mitglieder abberufen. Erforderliche Ersatzbestellungen erfolgen durch gesonderten Beschluss.</w:t>
      </w:r>
    </w:p>
    <w:p>
      <w:pPr>
        <w:pStyle w:val="Heading1"/>
      </w:pPr>
      <w:r>
        <w:t>6 Änderung des Modells</w:t>
      </w:r>
    </w:p>
    <w:p>
      <w:r>
        <w:t>6.1 Sollen dem Beirat künftig Zustimmungs- oder Organbefugnisse übertragen werden, sind Satzung, Gesellschaftervereinbarung, Geschäftsordnung und diese Ordnung gemeinsam zu prüfen und ordnungsgemäß anzupassen. Eine bloße Ergänzung des Sitzungsprotokolls genügt nicht.</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Beiratsordnung Schnittflug</dc:title>
  <dc:subject>Schnittflug Robotics – Gründungsunterlagen</dc:subject>
  <dc:creator>Gründerkreis Schnittflug · Verhandlungsstand</dc:creator>
  <cp:keywords/>
  <dc:description>generated by python-docx</dc:description>
  <cp:lastModifiedBy/>
  <cp:revision>1</cp:revision>
  <dcterms:created xsi:type="dcterms:W3CDTF">2026-09-28T09:00:00Z</dcterms:created>
  <dcterms:modified xsi:type="dcterms:W3CDTF">2026-09-28T09:00:00Z</dcterms:modified>
  <cp:category/>
</cp:coreProperties>
</file>